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7F7D4" w14:textId="77777777" w:rsidR="004C1A1A" w:rsidRPr="004C1A1A" w:rsidRDefault="004C1A1A" w:rsidP="004C1A1A">
      <w:pPr>
        <w:spacing w:after="0" w:line="240" w:lineRule="auto"/>
        <w:jc w:val="center"/>
        <w:outlineLvl w:val="0"/>
        <w:rPr>
          <w:rFonts w:ascii="Helvetica" w:eastAsia="Times New Roman" w:hAnsi="Helvetica" w:cs="Helvetica"/>
          <w:b/>
          <w:bCs/>
          <w:kern w:val="36"/>
          <w:sz w:val="36"/>
          <w:szCs w:val="48"/>
          <w:lang w:val="en" w:eastAsia="en-AU"/>
        </w:rPr>
      </w:pPr>
      <w:r w:rsidRPr="004C1A1A">
        <w:rPr>
          <w:rFonts w:ascii="Helvetica" w:eastAsia="Times New Roman" w:hAnsi="Helvetica" w:cs="Helvetica"/>
          <w:b/>
          <w:bCs/>
          <w:kern w:val="36"/>
          <w:sz w:val="36"/>
          <w:szCs w:val="48"/>
          <w:lang w:val="en" w:eastAsia="en-AU"/>
        </w:rPr>
        <w:t>Where food meets medicine: reform needed</w:t>
      </w:r>
    </w:p>
    <w:p w14:paraId="402B3703" w14:textId="77777777" w:rsidR="004C1A1A" w:rsidRDefault="004C1A1A" w:rsidP="004C1A1A">
      <w:pPr>
        <w:spacing w:after="0" w:line="240" w:lineRule="auto"/>
        <w:rPr>
          <w:rFonts w:ascii="Helvetica" w:eastAsia="Times New Roman" w:hAnsi="Helvetica" w:cs="Helvetica"/>
          <w:lang w:val="en" w:eastAsia="en-AU"/>
        </w:rPr>
      </w:pPr>
    </w:p>
    <w:p w14:paraId="54EA545E" w14:textId="77777777" w:rsidR="004C1A1A" w:rsidRPr="004C1A1A" w:rsidRDefault="004C1A1A" w:rsidP="004C1A1A">
      <w:pPr>
        <w:spacing w:after="0" w:line="240" w:lineRule="auto"/>
        <w:rPr>
          <w:rFonts w:ascii="Helvetica" w:eastAsia="Times New Roman" w:hAnsi="Helvetica" w:cs="Helvetica"/>
          <w:lang w:val="en" w:eastAsia="en-AU"/>
        </w:rPr>
      </w:pPr>
    </w:p>
    <w:p w14:paraId="3CB371AA" w14:textId="77777777" w:rsidR="004C1A1A" w:rsidRPr="004C1A1A" w:rsidRDefault="004C1A1A" w:rsidP="004C1A1A">
      <w:pPr>
        <w:spacing w:after="0" w:line="240" w:lineRule="auto"/>
        <w:rPr>
          <w:rFonts w:ascii="Helvetica" w:eastAsia="Times New Roman" w:hAnsi="Helvetica" w:cs="Helvetica"/>
          <w:lang w:val="en" w:eastAsia="en-AU"/>
        </w:rPr>
      </w:pPr>
      <w:r w:rsidRPr="004C1A1A">
        <w:rPr>
          <w:rFonts w:ascii="Helvetica" w:eastAsia="Times New Roman" w:hAnsi="Helvetica" w:cs="Helvetica"/>
          <w:lang w:val="en" w:eastAsia="en-AU"/>
        </w:rPr>
        <w:t>Authored by</w:t>
      </w:r>
      <w:r>
        <w:rPr>
          <w:rFonts w:ascii="Helvetica" w:eastAsia="Times New Roman" w:hAnsi="Helvetica" w:cs="Helvetica"/>
          <w:lang w:val="en" w:eastAsia="en-AU"/>
        </w:rPr>
        <w:t xml:space="preserve"> </w:t>
      </w:r>
      <w:r w:rsidRPr="004C1A1A">
        <w:rPr>
          <w:rFonts w:ascii="Helvetica" w:eastAsia="Times New Roman" w:hAnsi="Helvetica" w:cs="Helvetica"/>
          <w:lang w:val="en" w:eastAsia="en-AU"/>
        </w:rPr>
        <w:t>Ken Harvey</w:t>
      </w:r>
      <w:r>
        <w:rPr>
          <w:rFonts w:ascii="Helvetica" w:eastAsia="Times New Roman" w:hAnsi="Helvetica" w:cs="Helvetica"/>
          <w:lang w:val="en" w:eastAsia="en-AU"/>
        </w:rPr>
        <w:t xml:space="preserve">, </w:t>
      </w:r>
      <w:r w:rsidRPr="004C1A1A">
        <w:rPr>
          <w:rFonts w:ascii="Helvetica" w:eastAsia="Times New Roman" w:hAnsi="Helvetica" w:cs="Helvetica"/>
          <w:lang w:val="en" w:eastAsia="en-AU"/>
        </w:rPr>
        <w:t>Wendy Watson</w:t>
      </w:r>
      <w:r>
        <w:rPr>
          <w:rFonts w:ascii="Helvetica" w:eastAsia="Times New Roman" w:hAnsi="Helvetica" w:cs="Helvetica"/>
          <w:lang w:val="en" w:eastAsia="en-AU"/>
        </w:rPr>
        <w:t xml:space="preserve"> and </w:t>
      </w:r>
      <w:r w:rsidRPr="004C1A1A">
        <w:rPr>
          <w:rFonts w:ascii="Helvetica" w:eastAsia="Times New Roman" w:hAnsi="Helvetica" w:cs="Helvetica"/>
          <w:lang w:val="en" w:eastAsia="en-AU"/>
        </w:rPr>
        <w:t>Rosemary Stanton</w:t>
      </w:r>
    </w:p>
    <w:p w14:paraId="4B1C6697" w14:textId="77777777" w:rsidR="004C1A1A" w:rsidRDefault="004C1A1A" w:rsidP="004C1A1A">
      <w:pPr>
        <w:spacing w:after="0" w:line="240" w:lineRule="auto"/>
        <w:rPr>
          <w:rFonts w:ascii="Helvetica" w:eastAsia="Times New Roman" w:hAnsi="Helvetica" w:cs="Helvetica"/>
          <w:lang w:val="en" w:eastAsia="en-AU"/>
        </w:rPr>
      </w:pPr>
    </w:p>
    <w:p w14:paraId="1B9894E9" w14:textId="77777777" w:rsidR="004C1A1A" w:rsidRDefault="004C1A1A" w:rsidP="004C1A1A">
      <w:pPr>
        <w:spacing w:after="0" w:line="240" w:lineRule="auto"/>
        <w:rPr>
          <w:rFonts w:ascii="Helvetica" w:eastAsia="Times New Roman" w:hAnsi="Helvetica" w:cs="Helvetica"/>
          <w:lang w:val="en" w:eastAsia="en-AU"/>
        </w:rPr>
      </w:pPr>
      <w:r>
        <w:rPr>
          <w:rFonts w:ascii="Helvetica" w:eastAsia="Times New Roman" w:hAnsi="Helvetica" w:cs="Helvetica"/>
          <w:lang w:val="en" w:eastAsia="en-AU"/>
        </w:rPr>
        <w:t xml:space="preserve">Australian Medical Journal </w:t>
      </w:r>
    </w:p>
    <w:p w14:paraId="47957141" w14:textId="77777777" w:rsidR="004C1A1A" w:rsidRDefault="004C1A1A" w:rsidP="004C1A1A">
      <w:pPr>
        <w:spacing w:after="0" w:line="240" w:lineRule="auto"/>
        <w:rPr>
          <w:rFonts w:ascii="Helvetica" w:eastAsia="Times New Roman" w:hAnsi="Helvetica" w:cs="Helvetica"/>
          <w:lang w:val="en" w:eastAsia="en-AU"/>
        </w:rPr>
      </w:pPr>
    </w:p>
    <w:p w14:paraId="4B26B6CF" w14:textId="77777777" w:rsidR="004C1A1A" w:rsidRPr="004C1A1A" w:rsidRDefault="004C1A1A" w:rsidP="004C1A1A">
      <w:pPr>
        <w:spacing w:after="0" w:line="240" w:lineRule="auto"/>
        <w:rPr>
          <w:rFonts w:ascii="Helvetica" w:eastAsia="Times New Roman" w:hAnsi="Helvetica" w:cs="Helvetica"/>
          <w:lang w:val="en" w:eastAsia="en-AU"/>
        </w:rPr>
      </w:pPr>
      <w:r>
        <w:rPr>
          <w:rFonts w:ascii="Helvetica" w:eastAsia="Times New Roman" w:hAnsi="Helvetica" w:cs="Helvetica"/>
          <w:lang w:val="en" w:eastAsia="en-AU"/>
        </w:rPr>
        <w:t xml:space="preserve">    </w:t>
      </w:r>
      <w:hyperlink r:id="rId13" w:history="1">
        <w:r w:rsidRPr="004C1A1A">
          <w:rPr>
            <w:rFonts w:eastAsia="Times New Roman"/>
            <w:lang w:val="en" w:eastAsia="en-AU"/>
          </w:rPr>
          <w:t xml:space="preserve">Issue 15 / 23 April 2019 </w:t>
        </w:r>
      </w:hyperlink>
    </w:p>
    <w:p w14:paraId="27400821" w14:textId="77777777" w:rsidR="004C1A1A" w:rsidRDefault="004C1A1A" w:rsidP="004C1A1A">
      <w:pPr>
        <w:spacing w:after="0" w:line="240" w:lineRule="auto"/>
        <w:rPr>
          <w:rFonts w:ascii="Helvetica" w:eastAsia="Times New Roman" w:hAnsi="Helvetica" w:cs="Helvetica"/>
          <w:color w:val="222222"/>
          <w:lang w:val="en" w:eastAsia="en-AU"/>
        </w:rPr>
      </w:pPr>
    </w:p>
    <w:p w14:paraId="5E84A72A" w14:textId="77777777" w:rsidR="004C1A1A" w:rsidRPr="004C1A1A" w:rsidRDefault="004C1A1A" w:rsidP="004C1A1A">
      <w:pPr>
        <w:spacing w:after="0" w:line="240" w:lineRule="auto"/>
        <w:rPr>
          <w:rFonts w:ascii="Helvetica" w:eastAsia="Times New Roman" w:hAnsi="Helvetica" w:cs="Helvetica"/>
          <w:color w:val="222222"/>
          <w:lang w:val="en" w:eastAsia="en-AU"/>
        </w:rPr>
      </w:pPr>
    </w:p>
    <w:p w14:paraId="220DD38C"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PUBLIC health and consumer groups are concerned about serious problems at the </w:t>
      </w:r>
      <w:hyperlink r:id="rId14" w:history="1">
        <w:r w:rsidRPr="004C1A1A">
          <w:rPr>
            <w:rFonts w:eastAsia="Times New Roman"/>
            <w:lang w:val="en" w:eastAsia="en-AU"/>
          </w:rPr>
          <w:t>food–medicine interface</w:t>
        </w:r>
      </w:hyperlink>
      <w:r w:rsidRPr="004C1A1A">
        <w:rPr>
          <w:rFonts w:eastAsia="Times New Roman"/>
          <w:lang w:val="en" w:eastAsia="en-AU"/>
        </w:rPr>
        <w:t xml:space="preserve">. Sections of industry have failed to comply with standards set by </w:t>
      </w:r>
      <w:hyperlink r:id="rId15" w:history="1">
        <w:r w:rsidRPr="004C1A1A">
          <w:rPr>
            <w:rFonts w:eastAsia="Times New Roman"/>
            <w:lang w:val="en" w:eastAsia="en-AU"/>
          </w:rPr>
          <w:t>Food Standards Australia New Zealand</w:t>
        </w:r>
      </w:hyperlink>
      <w:r w:rsidRPr="004C1A1A">
        <w:rPr>
          <w:rFonts w:eastAsia="Times New Roman"/>
          <w:lang w:val="en" w:eastAsia="en-AU"/>
        </w:rPr>
        <w:t xml:space="preserve"> (FSANZ) and</w:t>
      </w:r>
      <w:bookmarkStart w:id="0" w:name="_GoBack"/>
      <w:bookmarkEnd w:id="0"/>
      <w:r w:rsidRPr="004C1A1A">
        <w:rPr>
          <w:rFonts w:eastAsia="Times New Roman"/>
          <w:lang w:val="en" w:eastAsia="en-AU"/>
        </w:rPr>
        <w:t xml:space="preserve"> the Therapeutic Goods Administration (TGA). </w:t>
      </w:r>
      <w:r w:rsidR="005D77CC">
        <w:rPr>
          <w:rFonts w:eastAsia="Times New Roman"/>
          <w:lang w:val="en" w:eastAsia="en-AU"/>
        </w:rPr>
        <w:t xml:space="preserve"> </w:t>
      </w:r>
      <w:r w:rsidRPr="004C1A1A">
        <w:rPr>
          <w:rFonts w:eastAsia="Times New Roman"/>
          <w:lang w:val="en" w:eastAsia="en-AU"/>
        </w:rPr>
        <w:t>Depending on how a product is classified, a complaint may be handled by the TGA, state and territory food health authorities, or even municipal councils.</w:t>
      </w:r>
    </w:p>
    <w:p w14:paraId="07795ACF" w14:textId="77777777" w:rsidR="004C1A1A" w:rsidRPr="004C1A1A" w:rsidRDefault="00B80543" w:rsidP="004C1A1A">
      <w:pPr>
        <w:spacing w:after="180" w:line="240" w:lineRule="auto"/>
        <w:rPr>
          <w:rFonts w:eastAsia="Times New Roman"/>
          <w:lang w:val="en" w:eastAsia="en-AU"/>
        </w:rPr>
      </w:pPr>
      <w:hyperlink r:id="rId16" w:history="1">
        <w:r w:rsidR="004C1A1A" w:rsidRPr="004C1A1A">
          <w:rPr>
            <w:rFonts w:eastAsia="Times New Roman"/>
            <w:lang w:val="en" w:eastAsia="en-AU"/>
          </w:rPr>
          <w:t>Information on labels and in advertising can influence consumers’ choices.</w:t>
        </w:r>
      </w:hyperlink>
      <w:r w:rsidR="004C1A1A" w:rsidRPr="004C1A1A">
        <w:rPr>
          <w:rFonts w:eastAsia="Times New Roman"/>
          <w:lang w:val="en" w:eastAsia="en-AU"/>
        </w:rPr>
        <w:t xml:space="preserve"> Claims about nutrients added to processed foods can give the food a “health halo”. </w:t>
      </w:r>
      <w:r w:rsidR="005D77CC">
        <w:rPr>
          <w:rFonts w:eastAsia="Times New Roman"/>
          <w:lang w:val="en" w:eastAsia="en-AU"/>
        </w:rPr>
        <w:t xml:space="preserve"> </w:t>
      </w:r>
      <w:r w:rsidR="004C1A1A" w:rsidRPr="004C1A1A">
        <w:rPr>
          <w:rFonts w:eastAsia="Times New Roman"/>
          <w:lang w:val="en" w:eastAsia="en-AU"/>
        </w:rPr>
        <w:t xml:space="preserve">And if consumers choose fortified foods carrying health claims, rather than nutrient-rich whole foods such as fruit and vegetables, the quality of their diet may suffer. </w:t>
      </w:r>
      <w:r w:rsidR="005D77CC">
        <w:rPr>
          <w:rFonts w:eastAsia="Times New Roman"/>
          <w:lang w:val="en" w:eastAsia="en-AU"/>
        </w:rPr>
        <w:t xml:space="preserve"> </w:t>
      </w:r>
      <w:r w:rsidR="004C1A1A" w:rsidRPr="004C1A1A">
        <w:rPr>
          <w:rFonts w:eastAsia="Times New Roman"/>
          <w:lang w:val="en" w:eastAsia="en-AU"/>
        </w:rPr>
        <w:t>Health claims on processed food also generally focus on specific nutrients; not the public health message that stresses the benefits of whole food diets.</w:t>
      </w:r>
    </w:p>
    <w:p w14:paraId="559D6C79" w14:textId="77777777" w:rsidR="004C1A1A" w:rsidRPr="004C1A1A" w:rsidRDefault="00B80543" w:rsidP="004C1A1A">
      <w:pPr>
        <w:spacing w:after="180" w:line="240" w:lineRule="auto"/>
        <w:rPr>
          <w:rFonts w:eastAsia="Times New Roman"/>
          <w:lang w:val="en" w:eastAsia="en-AU"/>
        </w:rPr>
      </w:pPr>
      <w:hyperlink r:id="rId17" w:history="1">
        <w:r w:rsidR="004C1A1A" w:rsidRPr="004C1A1A">
          <w:rPr>
            <w:rFonts w:eastAsia="Times New Roman"/>
            <w:lang w:val="en" w:eastAsia="en-AU"/>
          </w:rPr>
          <w:t>Standard 1.2.7 (Nutrition, health and related claims)</w:t>
        </w:r>
      </w:hyperlink>
      <w:r w:rsidR="004C1A1A" w:rsidRPr="004C1A1A">
        <w:rPr>
          <w:rFonts w:eastAsia="Times New Roman"/>
          <w:lang w:val="en" w:eastAsia="en-AU"/>
        </w:rPr>
        <w:t xml:space="preserve"> of the Australia New Zealand Food Standards Code came into effect in January 2016. </w:t>
      </w:r>
      <w:r w:rsidR="005D77CC">
        <w:rPr>
          <w:rFonts w:eastAsia="Times New Roman"/>
          <w:lang w:val="en" w:eastAsia="en-AU"/>
        </w:rPr>
        <w:t xml:space="preserve"> </w:t>
      </w:r>
      <w:r w:rsidR="004C1A1A" w:rsidRPr="004C1A1A">
        <w:rPr>
          <w:rFonts w:eastAsia="Times New Roman"/>
          <w:lang w:val="en" w:eastAsia="en-AU"/>
        </w:rPr>
        <w:t xml:space="preserve">General level health claims refer to a nutrient or substance in a food and its effect on health (eg, calcium for healthy bones and teeth) and can be self-substantiated, the term used to describe a claim being made and justified by the manufacturer without an independent assessment. </w:t>
      </w:r>
      <w:r w:rsidR="005D77CC">
        <w:rPr>
          <w:rFonts w:eastAsia="Times New Roman"/>
          <w:lang w:val="en" w:eastAsia="en-AU"/>
        </w:rPr>
        <w:t xml:space="preserve"> </w:t>
      </w:r>
      <w:r w:rsidR="004C1A1A" w:rsidRPr="004C1A1A">
        <w:rPr>
          <w:rFonts w:eastAsia="Times New Roman"/>
          <w:lang w:val="en" w:eastAsia="en-AU"/>
        </w:rPr>
        <w:t xml:space="preserve">To make a general level health claim on a food product, the manufacturer must notify their intention to FSANZ. Companies whose products meet certain criteria can choose from a list of 200 approved food–health relationships. </w:t>
      </w:r>
      <w:r w:rsidR="005D77CC">
        <w:rPr>
          <w:rFonts w:eastAsia="Times New Roman"/>
          <w:lang w:val="en" w:eastAsia="en-AU"/>
        </w:rPr>
        <w:t xml:space="preserve"> </w:t>
      </w:r>
      <w:r w:rsidR="004C1A1A" w:rsidRPr="004C1A1A">
        <w:rPr>
          <w:rFonts w:eastAsia="Times New Roman"/>
          <w:lang w:val="en" w:eastAsia="en-AU"/>
        </w:rPr>
        <w:t xml:space="preserve">Alternatively, the company can do a systematic review to support the food–health relationship. </w:t>
      </w:r>
      <w:r w:rsidR="005D77CC">
        <w:rPr>
          <w:rFonts w:eastAsia="Times New Roman"/>
          <w:lang w:val="en" w:eastAsia="en-AU"/>
        </w:rPr>
        <w:t xml:space="preserve"> </w:t>
      </w:r>
      <w:r w:rsidR="004C1A1A" w:rsidRPr="004C1A1A">
        <w:rPr>
          <w:rFonts w:eastAsia="Times New Roman"/>
          <w:lang w:val="en" w:eastAsia="en-AU"/>
        </w:rPr>
        <w:t>The review does not have to be lodged with FSANZ and there is no formal process to determine if the review has been done or is of suitable quality.</w:t>
      </w:r>
      <w:r w:rsidR="005D77CC">
        <w:rPr>
          <w:rFonts w:eastAsia="Times New Roman"/>
          <w:lang w:val="en" w:eastAsia="en-AU"/>
        </w:rPr>
        <w:t xml:space="preserve"> </w:t>
      </w:r>
      <w:r w:rsidR="004C1A1A" w:rsidRPr="004C1A1A">
        <w:rPr>
          <w:rFonts w:eastAsia="Times New Roman"/>
          <w:lang w:val="en" w:eastAsia="en-AU"/>
        </w:rPr>
        <w:t xml:space="preserve"> The system has no formal monitoring and relies on someone making a complaint. </w:t>
      </w:r>
      <w:r w:rsidR="005D77CC">
        <w:rPr>
          <w:rFonts w:eastAsia="Times New Roman"/>
          <w:lang w:val="en" w:eastAsia="en-AU"/>
        </w:rPr>
        <w:t xml:space="preserve"> </w:t>
      </w:r>
      <w:r w:rsidR="004C1A1A" w:rsidRPr="004C1A1A">
        <w:rPr>
          <w:rFonts w:eastAsia="Times New Roman"/>
          <w:lang w:val="en" w:eastAsia="en-AU"/>
        </w:rPr>
        <w:t>The manufacturer asks FSANZ to place the relationship on the FSANZ website, and then can use that claim in labelling and advertising.</w:t>
      </w:r>
    </w:p>
    <w:p w14:paraId="13573D6B" w14:textId="77777777" w:rsidR="004C1A1A" w:rsidRPr="004C1A1A" w:rsidRDefault="00B80543" w:rsidP="004C1A1A">
      <w:pPr>
        <w:spacing w:after="180" w:line="240" w:lineRule="auto"/>
        <w:rPr>
          <w:rFonts w:eastAsia="Times New Roman"/>
          <w:lang w:val="en" w:eastAsia="en-AU"/>
        </w:rPr>
      </w:pPr>
      <w:hyperlink r:id="rId18" w:history="1">
        <w:r w:rsidR="004C1A1A" w:rsidRPr="004C1A1A">
          <w:rPr>
            <w:rFonts w:eastAsia="Times New Roman"/>
            <w:lang w:val="en" w:eastAsia="en-AU"/>
          </w:rPr>
          <w:t>A recent article</w:t>
        </w:r>
      </w:hyperlink>
      <w:r w:rsidR="004C1A1A" w:rsidRPr="004C1A1A">
        <w:rPr>
          <w:rFonts w:eastAsia="Times New Roman"/>
          <w:lang w:val="en" w:eastAsia="en-AU"/>
        </w:rPr>
        <w:t xml:space="preserve"> assessed the rigour of self-substantiation by industry of general level food–health claims. </w:t>
      </w:r>
      <w:r w:rsidR="005D77CC">
        <w:rPr>
          <w:rFonts w:eastAsia="Times New Roman"/>
          <w:lang w:val="en" w:eastAsia="en-AU"/>
        </w:rPr>
        <w:t xml:space="preserve"> </w:t>
      </w:r>
      <w:r w:rsidR="004C1A1A" w:rsidRPr="004C1A1A">
        <w:rPr>
          <w:rFonts w:eastAsia="Times New Roman"/>
          <w:lang w:val="en" w:eastAsia="en-AU"/>
        </w:rPr>
        <w:t xml:space="preserve">Of 27 claims investigated, 12 (44%) could not be substantiated by an independent assessment of the evidence available; 8 (30%) were judged to be capable of substantiation, while the investigation of 7 (26%) continued. </w:t>
      </w:r>
      <w:r w:rsidR="005D77CC">
        <w:rPr>
          <w:rFonts w:eastAsia="Times New Roman"/>
          <w:lang w:val="en" w:eastAsia="en-AU"/>
        </w:rPr>
        <w:t xml:space="preserve"> </w:t>
      </w:r>
      <w:r w:rsidR="004C1A1A" w:rsidRPr="004C1A1A">
        <w:rPr>
          <w:rFonts w:eastAsia="Times New Roman"/>
          <w:lang w:val="en" w:eastAsia="en-AU"/>
        </w:rPr>
        <w:t>Since conducting the research, the researchers have asked food agencies to investigate another 52 food–health relationships. Self-substantiation and a “hands-off” approach to monitoring are inadequate given the technical nature of a food–health relationship and the influence such claims can have on consumers.</w:t>
      </w:r>
    </w:p>
    <w:p w14:paraId="14DBF516"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There are also problems with the implementation of other FSANZ standards. </w:t>
      </w:r>
      <w:r w:rsidR="005D77CC">
        <w:rPr>
          <w:rFonts w:eastAsia="Times New Roman"/>
          <w:lang w:val="en" w:eastAsia="en-AU"/>
        </w:rPr>
        <w:t xml:space="preserve"> </w:t>
      </w:r>
      <w:hyperlink r:id="rId19" w:history="1">
        <w:r w:rsidRPr="004C1A1A">
          <w:rPr>
            <w:rFonts w:eastAsia="Times New Roman"/>
            <w:lang w:val="en" w:eastAsia="en-AU"/>
          </w:rPr>
          <w:t>Standard 2.6.2</w:t>
        </w:r>
      </w:hyperlink>
      <w:r w:rsidRPr="004C1A1A">
        <w:rPr>
          <w:rFonts w:eastAsia="Times New Roman"/>
          <w:lang w:val="en" w:eastAsia="en-AU"/>
        </w:rPr>
        <w:t xml:space="preserve"> allows electrolyte drinks to be extensively promoted to the general public, </w:t>
      </w:r>
      <w:hyperlink r:id="rId20" w:history="1">
        <w:r w:rsidRPr="004C1A1A">
          <w:rPr>
            <w:rFonts w:eastAsia="Times New Roman"/>
            <w:lang w:val="en" w:eastAsia="en-AU"/>
          </w:rPr>
          <w:t>even though their benefits are proven only for endurance athletes</w:t>
        </w:r>
      </w:hyperlink>
      <w:r w:rsidRPr="004C1A1A">
        <w:rPr>
          <w:rFonts w:eastAsia="Times New Roman"/>
          <w:lang w:val="en" w:eastAsia="en-AU"/>
        </w:rPr>
        <w:t xml:space="preserve">. </w:t>
      </w:r>
      <w:r w:rsidR="005D77CC">
        <w:rPr>
          <w:rFonts w:eastAsia="Times New Roman"/>
          <w:lang w:val="en" w:eastAsia="en-AU"/>
        </w:rPr>
        <w:t xml:space="preserve"> </w:t>
      </w:r>
      <w:r w:rsidRPr="004C1A1A">
        <w:rPr>
          <w:rFonts w:eastAsia="Times New Roman"/>
          <w:lang w:val="en" w:eastAsia="en-AU"/>
        </w:rPr>
        <w:t xml:space="preserve">The </w:t>
      </w:r>
      <w:hyperlink r:id="rId21" w:history="1">
        <w:r w:rsidRPr="004C1A1A">
          <w:rPr>
            <w:rFonts w:eastAsia="Times New Roman"/>
            <w:lang w:val="en" w:eastAsia="en-AU"/>
          </w:rPr>
          <w:t>Australian dietary guidelines</w:t>
        </w:r>
      </w:hyperlink>
      <w:r w:rsidRPr="004C1A1A">
        <w:rPr>
          <w:rFonts w:eastAsia="Times New Roman"/>
          <w:lang w:val="en" w:eastAsia="en-AU"/>
        </w:rPr>
        <w:t xml:space="preserve"> include sports drinks among the sugary beverages that should be limited. Sugary drinks can increase the risk of overweight and obesity and </w:t>
      </w:r>
      <w:r w:rsidRPr="004C1A1A">
        <w:rPr>
          <w:rFonts w:eastAsia="Times New Roman"/>
          <w:lang w:val="en" w:eastAsia="en-AU"/>
        </w:rPr>
        <w:lastRenderedPageBreak/>
        <w:t>their acidity can also have adverse effects on dental health. This standard benefits industry, not consumers (</w:t>
      </w:r>
      <w:hyperlink r:id="rId22" w:history="1">
        <w:r w:rsidRPr="004C1A1A">
          <w:rPr>
            <w:rFonts w:eastAsia="Times New Roman"/>
            <w:lang w:val="en" w:eastAsia="en-AU"/>
          </w:rPr>
          <w:t>here</w:t>
        </w:r>
      </w:hyperlink>
      <w:r w:rsidRPr="004C1A1A">
        <w:rPr>
          <w:rFonts w:eastAsia="Times New Roman"/>
          <w:lang w:val="en" w:eastAsia="en-AU"/>
        </w:rPr>
        <w:t xml:space="preserve">, </w:t>
      </w:r>
      <w:hyperlink r:id="rId23" w:history="1">
        <w:r w:rsidRPr="004C1A1A">
          <w:rPr>
            <w:rFonts w:eastAsia="Times New Roman"/>
            <w:lang w:val="en" w:eastAsia="en-AU"/>
          </w:rPr>
          <w:t>here</w:t>
        </w:r>
      </w:hyperlink>
      <w:r w:rsidRPr="004C1A1A">
        <w:rPr>
          <w:rFonts w:eastAsia="Times New Roman"/>
          <w:lang w:val="en" w:eastAsia="en-AU"/>
        </w:rPr>
        <w:t xml:space="preserve">, and </w:t>
      </w:r>
      <w:hyperlink r:id="rId24" w:history="1">
        <w:r w:rsidRPr="004C1A1A">
          <w:rPr>
            <w:rFonts w:eastAsia="Times New Roman"/>
            <w:lang w:val="en" w:eastAsia="en-AU"/>
          </w:rPr>
          <w:t>here</w:t>
        </w:r>
      </w:hyperlink>
      <w:r w:rsidRPr="004C1A1A">
        <w:rPr>
          <w:rFonts w:eastAsia="Times New Roman"/>
          <w:lang w:val="en" w:eastAsia="en-AU"/>
        </w:rPr>
        <w:t>).</w:t>
      </w:r>
    </w:p>
    <w:p w14:paraId="5555FDD8" w14:textId="77777777" w:rsidR="004C1A1A" w:rsidRPr="004C1A1A" w:rsidRDefault="00B80543" w:rsidP="004C1A1A">
      <w:pPr>
        <w:spacing w:after="180" w:line="240" w:lineRule="auto"/>
        <w:rPr>
          <w:rFonts w:eastAsia="Times New Roman"/>
          <w:lang w:val="en" w:eastAsia="en-AU"/>
        </w:rPr>
      </w:pPr>
      <w:hyperlink r:id="rId25" w:history="1">
        <w:r w:rsidR="004C1A1A" w:rsidRPr="004C1A1A">
          <w:rPr>
            <w:rFonts w:eastAsia="Times New Roman"/>
            <w:lang w:val="en" w:eastAsia="en-AU"/>
          </w:rPr>
          <w:t>Standard 2.9.5</w:t>
        </w:r>
      </w:hyperlink>
      <w:r w:rsidR="004C1A1A" w:rsidRPr="004C1A1A">
        <w:rPr>
          <w:rFonts w:eastAsia="Times New Roman"/>
          <w:lang w:val="en" w:eastAsia="en-AU"/>
        </w:rPr>
        <w:t xml:space="preserve"> defines food for special medical purposes as foods formulated for individuals who have special medically determined nutrient requirements or whose dietary management cannot be completely achieved without the use of the food. </w:t>
      </w:r>
      <w:r w:rsidR="005D77CC">
        <w:rPr>
          <w:rFonts w:eastAsia="Times New Roman"/>
          <w:lang w:val="en" w:eastAsia="en-AU"/>
        </w:rPr>
        <w:t xml:space="preserve"> </w:t>
      </w:r>
      <w:r w:rsidR="004C1A1A" w:rsidRPr="004C1A1A">
        <w:rPr>
          <w:rFonts w:eastAsia="Times New Roman"/>
          <w:lang w:val="en" w:eastAsia="en-AU"/>
        </w:rPr>
        <w:t>They are intended to be used under medical supervision.</w:t>
      </w:r>
    </w:p>
    <w:p w14:paraId="5EF831CA"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One example, </w:t>
      </w:r>
      <w:hyperlink r:id="rId26" w:history="1">
        <w:r w:rsidRPr="004C1A1A">
          <w:rPr>
            <w:rFonts w:eastAsia="Times New Roman"/>
            <w:lang w:val="en" w:eastAsia="en-AU"/>
          </w:rPr>
          <w:t>Souvenaid</w:t>
        </w:r>
      </w:hyperlink>
      <w:r w:rsidRPr="004C1A1A">
        <w:rPr>
          <w:rFonts w:eastAsia="Times New Roman"/>
          <w:lang w:val="en" w:eastAsia="en-AU"/>
        </w:rPr>
        <w:t xml:space="preserve">, is a product self-declared by </w:t>
      </w:r>
      <w:hyperlink r:id="rId27" w:history="1">
        <w:r w:rsidRPr="004C1A1A">
          <w:rPr>
            <w:rFonts w:eastAsia="Times New Roman"/>
            <w:lang w:val="en" w:eastAsia="en-AU"/>
          </w:rPr>
          <w:t>Nutricia</w:t>
        </w:r>
      </w:hyperlink>
      <w:r w:rsidRPr="004C1A1A">
        <w:rPr>
          <w:rFonts w:eastAsia="Times New Roman"/>
          <w:lang w:val="en" w:eastAsia="en-AU"/>
        </w:rPr>
        <w:t xml:space="preserve"> as a food for special medicinal purposes for the treatment of the early stages of Alzheimer’s disease. </w:t>
      </w:r>
      <w:r w:rsidR="005D77CC">
        <w:rPr>
          <w:rFonts w:eastAsia="Times New Roman"/>
          <w:lang w:val="en" w:eastAsia="en-AU"/>
        </w:rPr>
        <w:t xml:space="preserve"> </w:t>
      </w:r>
      <w:r w:rsidRPr="004C1A1A">
        <w:rPr>
          <w:rFonts w:eastAsia="Times New Roman"/>
          <w:lang w:val="en" w:eastAsia="en-AU"/>
        </w:rPr>
        <w:t xml:space="preserve">We are unaware of any evidence that patients with mild Alzheimer’s disease have special medically determined nutrient requirements. </w:t>
      </w:r>
      <w:r w:rsidR="005D77CC">
        <w:rPr>
          <w:rFonts w:eastAsia="Times New Roman"/>
          <w:lang w:val="en" w:eastAsia="en-AU"/>
        </w:rPr>
        <w:t xml:space="preserve"> </w:t>
      </w:r>
      <w:r w:rsidRPr="004C1A1A">
        <w:rPr>
          <w:rFonts w:eastAsia="Times New Roman"/>
          <w:lang w:val="en" w:eastAsia="en-AU"/>
        </w:rPr>
        <w:t xml:space="preserve">The website for the product contains </w:t>
      </w:r>
      <w:hyperlink r:id="rId28" w:history="1">
        <w:r w:rsidRPr="004C1A1A">
          <w:rPr>
            <w:rFonts w:eastAsia="Times New Roman"/>
            <w:lang w:val="en" w:eastAsia="en-AU"/>
          </w:rPr>
          <w:t>five references</w:t>
        </w:r>
      </w:hyperlink>
      <w:r w:rsidRPr="004C1A1A">
        <w:rPr>
          <w:rFonts w:eastAsia="Times New Roman"/>
          <w:lang w:val="en" w:eastAsia="en-AU"/>
        </w:rPr>
        <w:t xml:space="preserve"> supposedly giving the dietary equivalents for the components of the product. The first reference addresses the safety of DNA in genetically modified foods. It appears to be irrelevant. </w:t>
      </w:r>
      <w:r w:rsidR="005D77CC">
        <w:rPr>
          <w:rFonts w:eastAsia="Times New Roman"/>
          <w:lang w:val="en" w:eastAsia="en-AU"/>
        </w:rPr>
        <w:t xml:space="preserve"> </w:t>
      </w:r>
      <w:r w:rsidRPr="004C1A1A">
        <w:rPr>
          <w:rFonts w:eastAsia="Times New Roman"/>
          <w:lang w:val="en" w:eastAsia="en-AU"/>
        </w:rPr>
        <w:t xml:space="preserve">The second relates to the difference in flavour due to levels of 5-adenosine monophosphate in the flesh and the pulp (which includes the seeds) of tomatoes. The remaining three were databases. </w:t>
      </w:r>
      <w:r w:rsidR="005D77CC">
        <w:rPr>
          <w:rFonts w:eastAsia="Times New Roman"/>
          <w:lang w:val="en" w:eastAsia="en-AU"/>
        </w:rPr>
        <w:t xml:space="preserve"> </w:t>
      </w:r>
      <w:r w:rsidRPr="004C1A1A">
        <w:rPr>
          <w:rFonts w:eastAsia="Times New Roman"/>
          <w:lang w:val="en" w:eastAsia="en-AU"/>
        </w:rPr>
        <w:t xml:space="preserve">When the figures given were checked with those in the </w:t>
      </w:r>
      <w:hyperlink r:id="rId29" w:history="1">
        <w:r w:rsidRPr="004C1A1A">
          <w:rPr>
            <w:rFonts w:eastAsia="Times New Roman"/>
            <w:lang w:val="en" w:eastAsia="en-AU"/>
          </w:rPr>
          <w:t>Australian Food Composition Database</w:t>
        </w:r>
      </w:hyperlink>
      <w:r w:rsidRPr="004C1A1A">
        <w:rPr>
          <w:rFonts w:eastAsia="Times New Roman"/>
          <w:lang w:val="en" w:eastAsia="en-AU"/>
        </w:rPr>
        <w:t xml:space="preserve">, discrepancies were found in the values given for Souvenaid. </w:t>
      </w:r>
      <w:r w:rsidR="005D77CC">
        <w:rPr>
          <w:rFonts w:eastAsia="Times New Roman"/>
          <w:lang w:val="en" w:eastAsia="en-AU"/>
        </w:rPr>
        <w:t xml:space="preserve"> </w:t>
      </w:r>
      <w:r w:rsidRPr="004C1A1A">
        <w:rPr>
          <w:rFonts w:eastAsia="Times New Roman"/>
          <w:lang w:val="en" w:eastAsia="en-AU"/>
        </w:rPr>
        <w:t>More importantly, the nutrient needs for patients with Alzheimer’s disease can be adequately met by following the advice of the Australian dietary guidelines. It is also disturbing that the product is being sold over the internet without medical supervision.</w:t>
      </w:r>
    </w:p>
    <w:p w14:paraId="729B08EB"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Had this product been classified as a complementary medicine, the claims made would have breached many sections of the </w:t>
      </w:r>
      <w:hyperlink r:id="rId30" w:history="1">
        <w:r w:rsidRPr="004C1A1A">
          <w:rPr>
            <w:rFonts w:eastAsia="Times New Roman"/>
            <w:lang w:val="en" w:eastAsia="en-AU"/>
          </w:rPr>
          <w:t>Therapeutic Goods Advertising Code</w:t>
        </w:r>
      </w:hyperlink>
      <w:r w:rsidRPr="004C1A1A">
        <w:rPr>
          <w:rFonts w:eastAsia="Times New Roman"/>
          <w:lang w:val="en" w:eastAsia="en-AU"/>
        </w:rPr>
        <w:t xml:space="preserve">. </w:t>
      </w:r>
      <w:r w:rsidR="005D77CC">
        <w:rPr>
          <w:rFonts w:eastAsia="Times New Roman"/>
          <w:lang w:val="en" w:eastAsia="en-AU"/>
        </w:rPr>
        <w:t xml:space="preserve"> </w:t>
      </w:r>
      <w:r w:rsidRPr="004C1A1A">
        <w:rPr>
          <w:rFonts w:eastAsia="Times New Roman"/>
          <w:lang w:val="en" w:eastAsia="en-AU"/>
        </w:rPr>
        <w:t xml:space="preserve">In particular, there is </w:t>
      </w:r>
      <w:hyperlink r:id="rId31" w:history="1">
        <w:r w:rsidRPr="004C1A1A">
          <w:rPr>
            <w:rFonts w:eastAsia="Times New Roman"/>
            <w:lang w:val="en" w:eastAsia="en-AU"/>
          </w:rPr>
          <w:t>insufficient evidence</w:t>
        </w:r>
      </w:hyperlink>
      <w:r w:rsidRPr="004C1A1A">
        <w:rPr>
          <w:rFonts w:eastAsia="Times New Roman"/>
          <w:lang w:val="en" w:eastAsia="en-AU"/>
        </w:rPr>
        <w:t xml:space="preserve"> to justify the “</w:t>
      </w:r>
      <w:hyperlink r:id="rId32" w:history="1">
        <w:r w:rsidRPr="004C1A1A">
          <w:rPr>
            <w:rFonts w:eastAsia="Times New Roman"/>
            <w:lang w:val="en" w:eastAsia="en-AU"/>
          </w:rPr>
          <w:t>clinically proven</w:t>
        </w:r>
      </w:hyperlink>
      <w:r w:rsidRPr="004C1A1A">
        <w:rPr>
          <w:rFonts w:eastAsia="Times New Roman"/>
          <w:lang w:val="en" w:eastAsia="en-AU"/>
        </w:rPr>
        <w:t xml:space="preserve">” claim. </w:t>
      </w:r>
      <w:r w:rsidR="005D77CC">
        <w:rPr>
          <w:rFonts w:eastAsia="Times New Roman"/>
          <w:lang w:val="en" w:eastAsia="en-AU"/>
        </w:rPr>
        <w:t xml:space="preserve"> </w:t>
      </w:r>
      <w:r w:rsidRPr="004C1A1A">
        <w:rPr>
          <w:rFonts w:eastAsia="Times New Roman"/>
          <w:lang w:val="en" w:eastAsia="en-AU"/>
        </w:rPr>
        <w:t xml:space="preserve">However, as this product was determined to be a food, that Code did not apply. </w:t>
      </w:r>
      <w:r w:rsidR="005D77CC">
        <w:rPr>
          <w:rFonts w:eastAsia="Times New Roman"/>
          <w:lang w:val="en" w:eastAsia="en-AU"/>
        </w:rPr>
        <w:t xml:space="preserve"> </w:t>
      </w:r>
      <w:r w:rsidRPr="004C1A1A">
        <w:rPr>
          <w:rFonts w:eastAsia="Times New Roman"/>
          <w:lang w:val="en" w:eastAsia="en-AU"/>
        </w:rPr>
        <w:t>In short, s</w:t>
      </w:r>
      <w:hyperlink r:id="rId33" w:history="1">
        <w:r w:rsidRPr="004C1A1A">
          <w:rPr>
            <w:rFonts w:eastAsia="Times New Roman"/>
            <w:lang w:val="en" w:eastAsia="en-AU"/>
          </w:rPr>
          <w:t>ponsors of food are held to a lower ethical standard than the sponsors of medicines</w:t>
        </w:r>
      </w:hyperlink>
      <w:r w:rsidRPr="004C1A1A">
        <w:rPr>
          <w:rFonts w:eastAsia="Times New Roman"/>
          <w:lang w:val="en" w:eastAsia="en-AU"/>
        </w:rPr>
        <w:t xml:space="preserve"> – a concern expressed by both consumer organisations and </w:t>
      </w:r>
      <w:hyperlink r:id="rId34" w:history="1">
        <w:r w:rsidRPr="004C1A1A">
          <w:rPr>
            <w:rFonts w:eastAsia="Times New Roman"/>
            <w:lang w:val="en" w:eastAsia="en-AU"/>
          </w:rPr>
          <w:t>Complementary Medicines Australia</w:t>
        </w:r>
      </w:hyperlink>
      <w:r w:rsidRPr="004C1A1A">
        <w:rPr>
          <w:rFonts w:eastAsia="Times New Roman"/>
          <w:lang w:val="en" w:eastAsia="en-AU"/>
        </w:rPr>
        <w:t>.</w:t>
      </w:r>
    </w:p>
    <w:p w14:paraId="40B206D9"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Problems also occur with multivitamins sold as sugarcoated gummies (pastilles) targeted at children. </w:t>
      </w:r>
      <w:r w:rsidR="005D77CC">
        <w:rPr>
          <w:rFonts w:eastAsia="Times New Roman"/>
          <w:lang w:val="en" w:eastAsia="en-AU"/>
        </w:rPr>
        <w:t xml:space="preserve"> </w:t>
      </w:r>
      <w:r w:rsidRPr="004C1A1A">
        <w:rPr>
          <w:rFonts w:eastAsia="Times New Roman"/>
          <w:lang w:val="en" w:eastAsia="en-AU"/>
        </w:rPr>
        <w:t xml:space="preserve">These products can contain vitamins, minerals, fish oil and vegetable extracts. </w:t>
      </w:r>
      <w:hyperlink r:id="rId35" w:history="1">
        <w:r w:rsidRPr="004C1A1A">
          <w:rPr>
            <w:rFonts w:eastAsia="Times New Roman"/>
            <w:lang w:val="en" w:eastAsia="en-AU"/>
          </w:rPr>
          <w:t>Some are regulated as foods, others as medicines</w:t>
        </w:r>
      </w:hyperlink>
      <w:r w:rsidRPr="004C1A1A">
        <w:rPr>
          <w:rFonts w:eastAsia="Times New Roman"/>
          <w:lang w:val="en" w:eastAsia="en-AU"/>
        </w:rPr>
        <w:t xml:space="preserve">. </w:t>
      </w:r>
      <w:r w:rsidR="005D77CC">
        <w:rPr>
          <w:rFonts w:eastAsia="Times New Roman"/>
          <w:lang w:val="en" w:eastAsia="en-AU"/>
        </w:rPr>
        <w:t xml:space="preserve"> </w:t>
      </w:r>
      <w:r w:rsidRPr="004C1A1A">
        <w:rPr>
          <w:rFonts w:eastAsia="Times New Roman"/>
          <w:lang w:val="en" w:eastAsia="en-AU"/>
        </w:rPr>
        <w:t xml:space="preserve">If they are regarded as a food, the sugar content must be declared; if seen as a medicine, they are only required to be labelled “contains sugar”. </w:t>
      </w:r>
      <w:r w:rsidR="005D77CC">
        <w:rPr>
          <w:rFonts w:eastAsia="Times New Roman"/>
          <w:lang w:val="en" w:eastAsia="en-AU"/>
        </w:rPr>
        <w:t xml:space="preserve"> </w:t>
      </w:r>
      <w:r w:rsidRPr="004C1A1A">
        <w:rPr>
          <w:rFonts w:eastAsia="Times New Roman"/>
          <w:lang w:val="en" w:eastAsia="en-AU"/>
        </w:rPr>
        <w:t>These products have been described as “</w:t>
      </w:r>
      <w:hyperlink r:id="rId36" w:history="1">
        <w:r w:rsidRPr="004C1A1A">
          <w:rPr>
            <w:rFonts w:eastAsia="Times New Roman"/>
            <w:lang w:val="en" w:eastAsia="en-AU"/>
          </w:rPr>
          <w:t>unhealthy, poorly regulated and exploitative</w:t>
        </w:r>
      </w:hyperlink>
      <w:r w:rsidRPr="004C1A1A">
        <w:rPr>
          <w:rFonts w:eastAsia="Times New Roman"/>
          <w:lang w:val="en" w:eastAsia="en-AU"/>
        </w:rPr>
        <w:t xml:space="preserve">”. </w:t>
      </w:r>
      <w:r w:rsidR="005D77CC">
        <w:rPr>
          <w:rFonts w:eastAsia="Times New Roman"/>
          <w:lang w:val="en" w:eastAsia="en-AU"/>
        </w:rPr>
        <w:t xml:space="preserve"> </w:t>
      </w:r>
      <w:hyperlink r:id="rId37" w:anchor="comment_1302154" w:history="1">
        <w:r w:rsidRPr="004C1A1A">
          <w:rPr>
            <w:rFonts w:eastAsia="Times New Roman"/>
            <w:lang w:val="en" w:eastAsia="en-AU"/>
          </w:rPr>
          <w:t>State poison information centres report increasing calls from parents</w:t>
        </w:r>
      </w:hyperlink>
      <w:r w:rsidRPr="004C1A1A">
        <w:rPr>
          <w:rFonts w:eastAsia="Times New Roman"/>
          <w:lang w:val="en" w:eastAsia="en-AU"/>
        </w:rPr>
        <w:t xml:space="preserve"> worried their children have swallowed numerous gummies thinking they were lollies. </w:t>
      </w:r>
      <w:r w:rsidR="005D77CC">
        <w:rPr>
          <w:rFonts w:eastAsia="Times New Roman"/>
          <w:lang w:val="en" w:eastAsia="en-AU"/>
        </w:rPr>
        <w:t xml:space="preserve"> </w:t>
      </w:r>
      <w:r w:rsidRPr="004C1A1A">
        <w:rPr>
          <w:rFonts w:eastAsia="Times New Roman"/>
          <w:lang w:val="en" w:eastAsia="en-AU"/>
        </w:rPr>
        <w:t>Neither FSANZ nor the TGA have tackled this problem.</w:t>
      </w:r>
    </w:p>
    <w:p w14:paraId="08BD86D5"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Numerous products self-declared to be “dietary or sports supplements” have had complaints submitted (</w:t>
      </w:r>
      <w:hyperlink r:id="rId38" w:history="1">
        <w:r w:rsidRPr="004C1A1A">
          <w:rPr>
            <w:rFonts w:eastAsia="Times New Roman"/>
            <w:lang w:val="en" w:eastAsia="en-AU"/>
          </w:rPr>
          <w:t>here</w:t>
        </w:r>
      </w:hyperlink>
      <w:r w:rsidRPr="004C1A1A">
        <w:rPr>
          <w:rFonts w:eastAsia="Times New Roman"/>
          <w:lang w:val="en" w:eastAsia="en-AU"/>
        </w:rPr>
        <w:t xml:space="preserve">, </w:t>
      </w:r>
      <w:hyperlink r:id="rId39" w:history="1">
        <w:r w:rsidRPr="004C1A1A">
          <w:rPr>
            <w:rFonts w:eastAsia="Times New Roman"/>
            <w:lang w:val="en" w:eastAsia="en-AU"/>
          </w:rPr>
          <w:t>here</w:t>
        </w:r>
      </w:hyperlink>
      <w:r w:rsidRPr="004C1A1A">
        <w:rPr>
          <w:rFonts w:eastAsia="Times New Roman"/>
          <w:lang w:val="en" w:eastAsia="en-AU"/>
        </w:rPr>
        <w:t xml:space="preserve">, and </w:t>
      </w:r>
      <w:hyperlink r:id="rId40" w:history="1">
        <w:r w:rsidRPr="004C1A1A">
          <w:rPr>
            <w:rFonts w:eastAsia="Times New Roman"/>
            <w:lang w:val="en" w:eastAsia="en-AU"/>
          </w:rPr>
          <w:t>here</w:t>
        </w:r>
      </w:hyperlink>
      <w:r w:rsidRPr="004C1A1A">
        <w:rPr>
          <w:rFonts w:eastAsia="Times New Roman"/>
          <w:lang w:val="en" w:eastAsia="en-AU"/>
        </w:rPr>
        <w:t xml:space="preserve">) alleging they breached either the </w:t>
      </w:r>
      <w:hyperlink r:id="rId41" w:history="1">
        <w:r w:rsidRPr="004C1A1A">
          <w:rPr>
            <w:rFonts w:eastAsia="Times New Roman"/>
            <w:lang w:val="en" w:eastAsia="en-AU"/>
          </w:rPr>
          <w:t>Therapeutic Goods Act</w:t>
        </w:r>
      </w:hyperlink>
      <w:r w:rsidRPr="004C1A1A">
        <w:rPr>
          <w:rFonts w:eastAsia="Times New Roman"/>
          <w:lang w:val="en" w:eastAsia="en-AU"/>
        </w:rPr>
        <w:t xml:space="preserve"> or the Therapeutic Goods Advertising Code or FSANZ standards. </w:t>
      </w:r>
      <w:r w:rsidR="005D77CC">
        <w:rPr>
          <w:rFonts w:eastAsia="Times New Roman"/>
          <w:lang w:val="en" w:eastAsia="en-AU"/>
        </w:rPr>
        <w:t xml:space="preserve"> </w:t>
      </w:r>
      <w:r w:rsidRPr="004C1A1A">
        <w:rPr>
          <w:rFonts w:eastAsia="Times New Roman"/>
          <w:lang w:val="en" w:eastAsia="en-AU"/>
        </w:rPr>
        <w:t xml:space="preserve">The TGA’s </w:t>
      </w:r>
      <w:hyperlink r:id="rId42" w:history="1">
        <w:r w:rsidRPr="004C1A1A">
          <w:rPr>
            <w:rFonts w:eastAsia="Times New Roman"/>
            <w:lang w:val="en" w:eastAsia="en-AU"/>
          </w:rPr>
          <w:t>Food–Medicine Interface Guidance Tool</w:t>
        </w:r>
      </w:hyperlink>
      <w:r w:rsidRPr="004C1A1A">
        <w:rPr>
          <w:rFonts w:eastAsia="Times New Roman"/>
          <w:lang w:val="en" w:eastAsia="en-AU"/>
        </w:rPr>
        <w:t xml:space="preserve"> can be used to determine whether a complaint should be sent to the TGA or state and territory food authorities.</w:t>
      </w:r>
    </w:p>
    <w:p w14:paraId="69EA3E3E"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Complaints about products judged to be food are sometimes hand-balled from one regulator to another and </w:t>
      </w:r>
      <w:hyperlink r:id="rId43" w:history="1">
        <w:r w:rsidRPr="004C1A1A">
          <w:rPr>
            <w:rFonts w:eastAsia="Times New Roman"/>
            <w:lang w:val="en" w:eastAsia="en-AU"/>
          </w:rPr>
          <w:t>even delegated to local councils</w:t>
        </w:r>
      </w:hyperlink>
      <w:r w:rsidRPr="004C1A1A">
        <w:rPr>
          <w:rFonts w:eastAsia="Times New Roman"/>
          <w:lang w:val="en" w:eastAsia="en-AU"/>
        </w:rPr>
        <w:t xml:space="preserve">. </w:t>
      </w:r>
      <w:r w:rsidR="005D77CC">
        <w:rPr>
          <w:rFonts w:eastAsia="Times New Roman"/>
          <w:lang w:val="en" w:eastAsia="en-AU"/>
        </w:rPr>
        <w:t xml:space="preserve"> </w:t>
      </w:r>
      <w:r w:rsidRPr="004C1A1A">
        <w:rPr>
          <w:rFonts w:eastAsia="Times New Roman"/>
          <w:lang w:val="en" w:eastAsia="en-AU"/>
        </w:rPr>
        <w:t>The latter, not unreasonably, feel their responsibility to investigate food poisoning in local restaurants outweighs investigating advertising concerns. There is no central collation of data on complaints about health claims made about foods or their outcomes.</w:t>
      </w:r>
    </w:p>
    <w:p w14:paraId="5A62B873" w14:textId="77777777" w:rsidR="004C1A1A" w:rsidRPr="004C1A1A" w:rsidRDefault="00B80543" w:rsidP="004C1A1A">
      <w:pPr>
        <w:spacing w:after="180" w:line="240" w:lineRule="auto"/>
        <w:rPr>
          <w:rFonts w:eastAsia="Times New Roman"/>
          <w:lang w:val="en" w:eastAsia="en-AU"/>
        </w:rPr>
      </w:pPr>
      <w:hyperlink r:id="rId44" w:history="1">
        <w:r w:rsidR="004C1A1A" w:rsidRPr="004C1A1A">
          <w:rPr>
            <w:rFonts w:eastAsia="Times New Roman"/>
            <w:lang w:val="en" w:eastAsia="en-AU"/>
          </w:rPr>
          <w:t>Complaints have been submitted to the TGA</w:t>
        </w:r>
      </w:hyperlink>
      <w:r w:rsidR="004C1A1A" w:rsidRPr="004C1A1A">
        <w:rPr>
          <w:rFonts w:eastAsia="Times New Roman"/>
          <w:lang w:val="en" w:eastAsia="en-AU"/>
        </w:rPr>
        <w:t xml:space="preserve"> for products that appeared to be therapeutic goods. </w:t>
      </w:r>
      <w:r w:rsidR="005D77CC">
        <w:rPr>
          <w:rFonts w:eastAsia="Times New Roman"/>
          <w:lang w:val="en" w:eastAsia="en-AU"/>
        </w:rPr>
        <w:t xml:space="preserve"> </w:t>
      </w:r>
      <w:r w:rsidR="004C1A1A" w:rsidRPr="004C1A1A">
        <w:rPr>
          <w:rFonts w:eastAsia="Times New Roman"/>
          <w:lang w:val="en" w:eastAsia="en-AU"/>
        </w:rPr>
        <w:t xml:space="preserve">These included products purporting to control weight, such as </w:t>
      </w:r>
      <w:hyperlink r:id="rId45" w:history="1">
        <w:r w:rsidR="004C1A1A" w:rsidRPr="004C1A1A">
          <w:rPr>
            <w:rFonts w:eastAsia="Times New Roman"/>
            <w:lang w:val="en" w:eastAsia="en-AU"/>
          </w:rPr>
          <w:t xml:space="preserve">Fat </w:t>
        </w:r>
        <w:r w:rsidR="004C1A1A" w:rsidRPr="004C1A1A">
          <w:rPr>
            <w:rFonts w:eastAsia="Times New Roman"/>
            <w:lang w:val="en" w:eastAsia="en-AU"/>
          </w:rPr>
          <w:lastRenderedPageBreak/>
          <w:t>Blaster</w:t>
        </w:r>
      </w:hyperlink>
      <w:r w:rsidR="004C1A1A" w:rsidRPr="004C1A1A">
        <w:rPr>
          <w:rFonts w:eastAsia="Times New Roman"/>
          <w:lang w:val="en" w:eastAsia="en-AU"/>
        </w:rPr>
        <w:t xml:space="preserve">, and other products from the same company, Fat Magnet and Reducta; ayurvedic (traditional medicine) products that claim to protect the liver from overindulgence, and numerous “sports supplements” purporting to benefit muscle definition, endurance and fat loss. </w:t>
      </w:r>
      <w:r w:rsidR="005D77CC">
        <w:rPr>
          <w:rFonts w:eastAsia="Times New Roman"/>
          <w:lang w:val="en" w:eastAsia="en-AU"/>
        </w:rPr>
        <w:t xml:space="preserve"> </w:t>
      </w:r>
      <w:r w:rsidR="004C1A1A" w:rsidRPr="004C1A1A">
        <w:rPr>
          <w:rFonts w:eastAsia="Times New Roman"/>
          <w:lang w:val="en" w:eastAsia="en-AU"/>
        </w:rPr>
        <w:t xml:space="preserve">Some of the latter were found to contain </w:t>
      </w:r>
      <w:hyperlink r:id="rId46" w:history="1">
        <w:r w:rsidR="004C1A1A" w:rsidRPr="004C1A1A">
          <w:rPr>
            <w:rFonts w:eastAsia="Times New Roman"/>
            <w:lang w:val="en" w:eastAsia="en-AU"/>
          </w:rPr>
          <w:t>Schedule 4 (prescription only) or Schedule 10 (banned)</w:t>
        </w:r>
      </w:hyperlink>
      <w:r w:rsidR="004C1A1A" w:rsidRPr="004C1A1A">
        <w:rPr>
          <w:rFonts w:eastAsia="Times New Roman"/>
          <w:lang w:val="en" w:eastAsia="en-AU"/>
        </w:rPr>
        <w:t xml:space="preserve"> ingredients. </w:t>
      </w:r>
      <w:r w:rsidR="005D77CC">
        <w:rPr>
          <w:rFonts w:eastAsia="Times New Roman"/>
          <w:lang w:val="en" w:eastAsia="en-AU"/>
        </w:rPr>
        <w:t xml:space="preserve"> </w:t>
      </w:r>
      <w:r w:rsidR="004C1A1A" w:rsidRPr="004C1A1A">
        <w:rPr>
          <w:rFonts w:eastAsia="Times New Roman"/>
          <w:lang w:val="en" w:eastAsia="en-AU"/>
        </w:rPr>
        <w:t xml:space="preserve">The TGA simply classified most of these complaints as </w:t>
      </w:r>
      <w:hyperlink r:id="rId47" w:history="1">
        <w:r w:rsidR="004C1A1A" w:rsidRPr="004C1A1A">
          <w:rPr>
            <w:rFonts w:eastAsia="Times New Roman"/>
            <w:lang w:val="en" w:eastAsia="en-AU"/>
          </w:rPr>
          <w:t>“low priority”</w:t>
        </w:r>
      </w:hyperlink>
      <w:r w:rsidR="004C1A1A" w:rsidRPr="004C1A1A">
        <w:rPr>
          <w:rFonts w:eastAsia="Times New Roman"/>
          <w:lang w:val="en" w:eastAsia="en-AU"/>
        </w:rPr>
        <w:t xml:space="preserve"> and dealt with them by sending an </w:t>
      </w:r>
      <w:hyperlink r:id="rId48" w:history="1">
        <w:r w:rsidR="004C1A1A" w:rsidRPr="004C1A1A">
          <w:rPr>
            <w:rFonts w:eastAsia="Times New Roman"/>
            <w:lang w:val="en" w:eastAsia="en-AU"/>
          </w:rPr>
          <w:t>“educational” letter</w:t>
        </w:r>
      </w:hyperlink>
      <w:r w:rsidR="004C1A1A" w:rsidRPr="004C1A1A">
        <w:rPr>
          <w:rFonts w:eastAsia="Times New Roman"/>
          <w:lang w:val="en" w:eastAsia="en-AU"/>
        </w:rPr>
        <w:t xml:space="preserve"> to the company concerned.</w:t>
      </w:r>
    </w:p>
    <w:p w14:paraId="184AEB25"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In our experience, such letters usually fail to achieve compliance and the products remain on the market.</w:t>
      </w:r>
    </w:p>
    <w:p w14:paraId="0D2BBC57"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In short, the regulation of health claims for foods and therapeutic goods is inconsistent; complaint systems are inadequate, no effective penalties are applied for documented breaches of the law, and questionable (and potentially dangerous products) are proliferating.</w:t>
      </w:r>
    </w:p>
    <w:p w14:paraId="61E51D89"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So, what should be done?</w:t>
      </w:r>
    </w:p>
    <w:p w14:paraId="2DAAF8FF" w14:textId="77777777" w:rsidR="004C1A1A" w:rsidRPr="004C1A1A" w:rsidRDefault="00B80543" w:rsidP="004C1A1A">
      <w:pPr>
        <w:spacing w:after="180" w:line="240" w:lineRule="auto"/>
        <w:rPr>
          <w:rFonts w:eastAsia="Times New Roman"/>
          <w:lang w:val="en" w:eastAsia="en-AU"/>
        </w:rPr>
      </w:pPr>
      <w:hyperlink r:id="rId49" w:history="1">
        <w:r w:rsidR="004C1A1A" w:rsidRPr="004C1A1A">
          <w:rPr>
            <w:rFonts w:eastAsia="Times New Roman"/>
            <w:lang w:val="en" w:eastAsia="en-AU"/>
          </w:rPr>
          <w:t>In a submission</w:t>
        </w:r>
      </w:hyperlink>
      <w:r w:rsidR="004C1A1A" w:rsidRPr="004C1A1A">
        <w:rPr>
          <w:rFonts w:eastAsia="Times New Roman"/>
          <w:lang w:val="en" w:eastAsia="en-AU"/>
        </w:rPr>
        <w:t xml:space="preserve"> to the Senate Community Affairs Legislation Committee on the </w:t>
      </w:r>
      <w:hyperlink r:id="rId50" w:history="1">
        <w:r w:rsidR="004C1A1A" w:rsidRPr="004C1A1A">
          <w:rPr>
            <w:rFonts w:eastAsia="Times New Roman"/>
            <w:lang w:val="en" w:eastAsia="en-AU"/>
          </w:rPr>
          <w:t>Therapeutic Goods Amendment (2017 Measures No. 1) Bill 2017</w:t>
        </w:r>
      </w:hyperlink>
      <w:r w:rsidR="004C1A1A" w:rsidRPr="004C1A1A">
        <w:rPr>
          <w:rFonts w:eastAsia="Times New Roman"/>
          <w:lang w:val="en" w:eastAsia="en-AU"/>
        </w:rPr>
        <w:t xml:space="preserve">, the </w:t>
      </w:r>
      <w:hyperlink r:id="rId51" w:history="1">
        <w:r w:rsidR="004C1A1A" w:rsidRPr="004C1A1A">
          <w:rPr>
            <w:rFonts w:eastAsia="Times New Roman"/>
            <w:lang w:val="en" w:eastAsia="en-AU"/>
          </w:rPr>
          <w:t>Public Health Association of Australia</w:t>
        </w:r>
      </w:hyperlink>
      <w:r w:rsidR="004C1A1A" w:rsidRPr="004C1A1A">
        <w:rPr>
          <w:rFonts w:eastAsia="Times New Roman"/>
          <w:lang w:val="en" w:eastAsia="en-AU"/>
        </w:rPr>
        <w:t xml:space="preserve">, </w:t>
      </w:r>
      <w:hyperlink r:id="rId52" w:history="1">
        <w:r w:rsidR="004C1A1A" w:rsidRPr="004C1A1A">
          <w:rPr>
            <w:rFonts w:eastAsia="Times New Roman"/>
            <w:lang w:val="en" w:eastAsia="en-AU"/>
          </w:rPr>
          <w:t>Choice</w:t>
        </w:r>
      </w:hyperlink>
      <w:r w:rsidR="004C1A1A" w:rsidRPr="004C1A1A">
        <w:rPr>
          <w:rFonts w:eastAsia="Times New Roman"/>
          <w:lang w:val="en" w:eastAsia="en-AU"/>
        </w:rPr>
        <w:t xml:space="preserve"> and </w:t>
      </w:r>
      <w:hyperlink r:id="rId53" w:history="1">
        <w:r w:rsidR="004C1A1A" w:rsidRPr="004C1A1A">
          <w:rPr>
            <w:rFonts w:eastAsia="Times New Roman"/>
            <w:lang w:val="en" w:eastAsia="en-AU"/>
          </w:rPr>
          <w:t>Friends of Science in Medicine</w:t>
        </w:r>
      </w:hyperlink>
      <w:r w:rsidR="004C1A1A" w:rsidRPr="004C1A1A">
        <w:rPr>
          <w:rFonts w:eastAsia="Times New Roman"/>
          <w:lang w:val="en" w:eastAsia="en-AU"/>
        </w:rPr>
        <w:t xml:space="preserve"> suggested expanding the Therapeutic Goods Advertising Code to a Therapeutic Claims Advertising Code so complaints could be dealt with by one authority. </w:t>
      </w:r>
      <w:r w:rsidR="005D77CC">
        <w:rPr>
          <w:rFonts w:eastAsia="Times New Roman"/>
          <w:lang w:val="en" w:eastAsia="en-AU"/>
        </w:rPr>
        <w:t xml:space="preserve"> </w:t>
      </w:r>
      <w:r w:rsidR="004C1A1A" w:rsidRPr="004C1A1A">
        <w:rPr>
          <w:rFonts w:eastAsia="Times New Roman"/>
          <w:lang w:val="en" w:eastAsia="en-AU"/>
        </w:rPr>
        <w:t xml:space="preserve">In response, </w:t>
      </w:r>
      <w:hyperlink r:id="rId54" w:history="1">
        <w:r w:rsidR="004C1A1A" w:rsidRPr="004C1A1A">
          <w:rPr>
            <w:rFonts w:eastAsia="Times New Roman"/>
            <w:lang w:val="en" w:eastAsia="en-AU"/>
          </w:rPr>
          <w:t>a submission from the Department of Health</w:t>
        </w:r>
      </w:hyperlink>
      <w:r w:rsidR="004C1A1A" w:rsidRPr="004C1A1A">
        <w:rPr>
          <w:rFonts w:eastAsia="Times New Roman"/>
          <w:lang w:val="en" w:eastAsia="en-AU"/>
        </w:rPr>
        <w:t xml:space="preserve"> stated that it was beyond the scope of the Therapeutic Goods Act, and potentially the Commonwealth’s constitutional powers for the TGA, to manage complaints related to foods that make health claims.</w:t>
      </w:r>
    </w:p>
    <w:p w14:paraId="131F1B84"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xml:space="preserve">Another suggestion was for the </w:t>
      </w:r>
      <w:hyperlink r:id="rId55" w:history="1">
        <w:r w:rsidRPr="004C1A1A">
          <w:rPr>
            <w:rFonts w:eastAsia="Times New Roman"/>
            <w:lang w:val="en" w:eastAsia="en-AU"/>
          </w:rPr>
          <w:t>Australian Competition and Consumer Commission</w:t>
        </w:r>
      </w:hyperlink>
      <w:r w:rsidRPr="004C1A1A">
        <w:rPr>
          <w:rFonts w:eastAsia="Times New Roman"/>
          <w:lang w:val="en" w:eastAsia="en-AU"/>
        </w:rPr>
        <w:t xml:space="preserve"> (ACCC) to act using s.18 of the </w:t>
      </w:r>
      <w:hyperlink r:id="rId56" w:history="1">
        <w:r w:rsidRPr="004C1A1A">
          <w:rPr>
            <w:rFonts w:eastAsia="Times New Roman"/>
            <w:lang w:val="en" w:eastAsia="en-AU"/>
          </w:rPr>
          <w:t>Competition and Consumer Act 2010</w:t>
        </w:r>
      </w:hyperlink>
      <w:r w:rsidRPr="004C1A1A">
        <w:rPr>
          <w:rFonts w:eastAsia="Times New Roman"/>
          <w:lang w:val="en" w:eastAsia="en-AU"/>
        </w:rPr>
        <w:t xml:space="preserve"> which prohibits misleading and deceptive conduct. The ACCC responded: “While this is ultimately a matter for government, the ACCC is not in a position to step in where another regulator has resource constraints or makes a different assessment of priorities given our broad consumer and competition remit”.</w:t>
      </w:r>
    </w:p>
    <w:p w14:paraId="2B6F585E" w14:textId="77777777" w:rsidR="004C1A1A" w:rsidRDefault="004C1A1A" w:rsidP="004C1A1A">
      <w:pPr>
        <w:spacing w:after="180" w:line="240" w:lineRule="auto"/>
        <w:rPr>
          <w:rFonts w:eastAsia="Times New Roman"/>
          <w:lang w:val="en" w:eastAsia="en-AU"/>
        </w:rPr>
      </w:pPr>
      <w:r w:rsidRPr="004C1A1A">
        <w:rPr>
          <w:rFonts w:eastAsia="Times New Roman"/>
          <w:lang w:val="en" w:eastAsia="en-AU"/>
        </w:rPr>
        <w:t xml:space="preserve">We agree with the ACCC. </w:t>
      </w:r>
      <w:r w:rsidR="005D77CC">
        <w:rPr>
          <w:rFonts w:eastAsia="Times New Roman"/>
          <w:lang w:val="en" w:eastAsia="en-AU"/>
        </w:rPr>
        <w:t xml:space="preserve"> </w:t>
      </w:r>
      <w:r w:rsidRPr="004C1A1A">
        <w:rPr>
          <w:rFonts w:eastAsia="Times New Roman"/>
          <w:lang w:val="en" w:eastAsia="en-AU"/>
        </w:rPr>
        <w:t xml:space="preserve">The problems documented above should be a matter for the new government that will be formed after the 18 May 2019 election. </w:t>
      </w:r>
      <w:r w:rsidR="005D77CC">
        <w:rPr>
          <w:rFonts w:eastAsia="Times New Roman"/>
          <w:lang w:val="en" w:eastAsia="en-AU"/>
        </w:rPr>
        <w:t xml:space="preserve"> </w:t>
      </w:r>
      <w:r w:rsidRPr="004C1A1A">
        <w:rPr>
          <w:rFonts w:eastAsia="Times New Roman"/>
          <w:lang w:val="en" w:eastAsia="en-AU"/>
        </w:rPr>
        <w:t xml:space="preserve">We suggest the new government asks the </w:t>
      </w:r>
      <w:hyperlink r:id="rId57" w:history="1">
        <w:r w:rsidRPr="004C1A1A">
          <w:rPr>
            <w:rFonts w:eastAsia="Times New Roman"/>
            <w:lang w:val="en" w:eastAsia="en-AU"/>
          </w:rPr>
          <w:t>Australian National Audit Office</w:t>
        </w:r>
      </w:hyperlink>
      <w:r w:rsidRPr="004C1A1A">
        <w:rPr>
          <w:rFonts w:eastAsia="Times New Roman"/>
          <w:lang w:val="en" w:eastAsia="en-AU"/>
        </w:rPr>
        <w:t xml:space="preserve"> to revisit their </w:t>
      </w:r>
      <w:hyperlink r:id="rId58" w:history="1">
        <w:r w:rsidRPr="004C1A1A">
          <w:rPr>
            <w:rFonts w:eastAsia="Times New Roman"/>
            <w:lang w:val="en" w:eastAsia="en-AU"/>
          </w:rPr>
          <w:t>2011 audit of the TGA</w:t>
        </w:r>
      </w:hyperlink>
      <w:r w:rsidRPr="004C1A1A">
        <w:rPr>
          <w:rFonts w:eastAsia="Times New Roman"/>
          <w:lang w:val="en" w:eastAsia="en-AU"/>
        </w:rPr>
        <w:t>, add FSANZ to the terms of reference, and focus the audit on ensuring ethical health claims are made in both food and medicines.</w:t>
      </w:r>
    </w:p>
    <w:p w14:paraId="699DD793" w14:textId="77777777" w:rsidR="004C1A1A" w:rsidRDefault="004C1A1A" w:rsidP="004C1A1A">
      <w:pPr>
        <w:spacing w:after="180" w:line="240" w:lineRule="auto"/>
        <w:rPr>
          <w:rFonts w:eastAsia="Times New Roman"/>
          <w:lang w:val="en" w:eastAsia="en-AU"/>
        </w:rPr>
      </w:pPr>
    </w:p>
    <w:p w14:paraId="676422E7" w14:textId="77777777" w:rsidR="004C1A1A" w:rsidRPr="004C1A1A" w:rsidRDefault="004C1A1A" w:rsidP="004C1A1A">
      <w:pPr>
        <w:spacing w:after="180" w:line="240" w:lineRule="auto"/>
        <w:rPr>
          <w:rFonts w:eastAsia="Times New Roman"/>
          <w:lang w:val="en" w:eastAsia="en-AU"/>
        </w:rPr>
      </w:pPr>
    </w:p>
    <w:p w14:paraId="079BE578" w14:textId="77777777" w:rsidR="004C1A1A" w:rsidRPr="004C1A1A" w:rsidRDefault="004C1A1A" w:rsidP="004C1A1A">
      <w:pPr>
        <w:spacing w:after="180" w:line="240" w:lineRule="auto"/>
        <w:rPr>
          <w:rFonts w:eastAsia="Times New Roman"/>
          <w:b/>
          <w:i/>
          <w:lang w:val="en" w:eastAsia="en-AU"/>
        </w:rPr>
      </w:pPr>
      <w:r w:rsidRPr="004C1A1A">
        <w:rPr>
          <w:rFonts w:eastAsia="Times New Roman"/>
          <w:b/>
          <w:i/>
          <w:lang w:val="en" w:eastAsia="en-AU"/>
        </w:rPr>
        <w:t xml:space="preserve">Ken Harvey is an Associate Professor in the School of Public Health, Monash University, a member of the Public Health Association of Australia, a consumer advocate for Choice (Australian Consumers’ Association) and President of Friends of Science in Medicine. </w:t>
      </w:r>
    </w:p>
    <w:p w14:paraId="02BECF24" w14:textId="77777777" w:rsidR="004C1A1A" w:rsidRPr="004C1A1A" w:rsidRDefault="004C1A1A" w:rsidP="004C1A1A">
      <w:pPr>
        <w:spacing w:after="180" w:line="240" w:lineRule="auto"/>
        <w:rPr>
          <w:rFonts w:eastAsia="Times New Roman"/>
          <w:b/>
          <w:i/>
          <w:lang w:val="en" w:eastAsia="en-AU"/>
        </w:rPr>
      </w:pPr>
      <w:r w:rsidRPr="004C1A1A">
        <w:rPr>
          <w:rFonts w:eastAsia="Times New Roman"/>
          <w:b/>
          <w:i/>
          <w:lang w:val="en" w:eastAsia="en-AU"/>
        </w:rPr>
        <w:t>Wendy Watson is the Nutrition Program Manager for Cancer Council NSW, responsible for the organisation’s cancer prevention projects relating to obesity, nutrition, physical activity and alcohol.</w:t>
      </w:r>
    </w:p>
    <w:p w14:paraId="6D1D4170" w14:textId="77777777" w:rsidR="004C1A1A" w:rsidRPr="004C1A1A" w:rsidRDefault="004C1A1A" w:rsidP="004C1A1A">
      <w:pPr>
        <w:spacing w:after="180" w:line="240" w:lineRule="auto"/>
        <w:rPr>
          <w:rFonts w:eastAsia="Times New Roman"/>
          <w:b/>
          <w:i/>
          <w:lang w:val="en" w:eastAsia="en-AU"/>
        </w:rPr>
      </w:pPr>
      <w:r w:rsidRPr="004C1A1A">
        <w:rPr>
          <w:rFonts w:eastAsia="Times New Roman"/>
          <w:b/>
          <w:i/>
          <w:lang w:val="en" w:eastAsia="en-AU"/>
        </w:rPr>
        <w:t>Dr Rosemary Stanton OAM has worked as a public health nutritionist for over 50 years. She is currently a Visiting Fellow in the School of Medical Sciences at UNSW.</w:t>
      </w:r>
    </w:p>
    <w:p w14:paraId="166449B9" w14:textId="77777777" w:rsidR="004C1A1A" w:rsidRPr="004C1A1A" w:rsidRDefault="004C1A1A" w:rsidP="004C1A1A">
      <w:pPr>
        <w:spacing w:after="180" w:line="240" w:lineRule="auto"/>
        <w:rPr>
          <w:rFonts w:eastAsia="Times New Roman"/>
          <w:lang w:val="en" w:eastAsia="en-AU"/>
        </w:rPr>
      </w:pPr>
      <w:r w:rsidRPr="004C1A1A">
        <w:rPr>
          <w:rFonts w:eastAsia="Times New Roman"/>
          <w:lang w:val="en" w:eastAsia="en-AU"/>
        </w:rPr>
        <w:t> </w:t>
      </w:r>
    </w:p>
    <w:p w14:paraId="206CF522" w14:textId="77777777" w:rsidR="00280050" w:rsidRPr="004C1A1A" w:rsidRDefault="00280050" w:rsidP="004C1A1A">
      <w:pPr>
        <w:spacing w:after="180" w:line="240" w:lineRule="auto"/>
        <w:rPr>
          <w:rFonts w:eastAsia="Times New Roman"/>
          <w:lang w:val="en" w:eastAsia="en-AU"/>
        </w:rPr>
      </w:pPr>
    </w:p>
    <w:sectPr w:rsidR="00280050" w:rsidRPr="004C1A1A">
      <w:headerReference w:type="even" r:id="rId59"/>
      <w:headerReference w:type="default" r:id="rId60"/>
      <w:footerReference w:type="even" r:id="rId61"/>
      <w:footerReference w:type="default" r:id="rId62"/>
      <w:headerReference w:type="first" r:id="rId63"/>
      <w:footerReference w:type="first" r:id="rId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F27F58" w14:textId="77777777" w:rsidR="006A6872" w:rsidRDefault="006A6872" w:rsidP="004C1A1A">
      <w:pPr>
        <w:spacing w:after="0" w:line="240" w:lineRule="auto"/>
      </w:pPr>
      <w:r>
        <w:separator/>
      </w:r>
    </w:p>
  </w:endnote>
  <w:endnote w:type="continuationSeparator" w:id="0">
    <w:p w14:paraId="610C2025" w14:textId="77777777" w:rsidR="006A6872" w:rsidRDefault="006A6872" w:rsidP="004C1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8FEC6" w14:textId="77777777" w:rsidR="00B80543" w:rsidRPr="00B80543" w:rsidRDefault="00B80543" w:rsidP="00B80543">
    <w:pPr>
      <w:pStyle w:val="Footer"/>
      <w:jc w:val="center"/>
      <w:rPr>
        <w:rFonts w:ascii="Calibri" w:hAnsi="Calibri" w:cs="Calibri"/>
        <w:b/>
        <w:color w:val="F00000"/>
      </w:rPr>
    </w:pPr>
    <w:r>
      <w:fldChar w:fldCharType="begin" w:fldLock="1"/>
    </w:r>
    <w:r>
      <w:instrText xml:space="preserve"> DOCPROPERTY bjFooterEvenPageDocProperty \* MERGEFORMAT </w:instrText>
    </w:r>
    <w:r>
      <w:fldChar w:fldCharType="separate"/>
    </w:r>
  </w:p>
  <w:p w14:paraId="317DE0EE" w14:textId="7EA2A0E8" w:rsidR="00B80543" w:rsidRPr="00B80543" w:rsidRDefault="00B80543" w:rsidP="00B80543">
    <w:pPr>
      <w:pStyle w:val="Footer"/>
      <w:jc w:val="center"/>
    </w:pPr>
    <w:r w:rsidRPr="00B80543">
      <w:rPr>
        <w:rFonts w:ascii="Calibri" w:hAnsi="Calibri" w:cs="Calibri"/>
        <w:b/>
        <w:color w:val="F00000"/>
      </w:rPr>
      <w:t>OFFICIAL</w:t>
    </w:r>
    <w:r>
      <w:t xml:space="preserve">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E8B26" w14:textId="77777777" w:rsidR="00B80543" w:rsidRPr="00B80543" w:rsidRDefault="00B80543" w:rsidP="00B80543">
    <w:pPr>
      <w:pStyle w:val="Footer"/>
      <w:jc w:val="center"/>
      <w:rPr>
        <w:rFonts w:ascii="Calibri" w:hAnsi="Calibri" w:cs="Calibri"/>
        <w:b/>
        <w:color w:val="F00000"/>
      </w:rPr>
    </w:pPr>
    <w:r>
      <w:fldChar w:fldCharType="begin" w:fldLock="1"/>
    </w:r>
    <w:r>
      <w:instrText xml:space="preserve"> DOCPROPERTY bjFooterBothDocProperty \* MERGEFORMAT </w:instrText>
    </w:r>
    <w:r>
      <w:fldChar w:fldCharType="separate"/>
    </w:r>
  </w:p>
  <w:p w14:paraId="13947BD7" w14:textId="178D3654" w:rsidR="00B80543" w:rsidRDefault="00B80543" w:rsidP="00B80543">
    <w:pPr>
      <w:pStyle w:val="Footer"/>
      <w:jc w:val="center"/>
    </w:pPr>
    <w:r w:rsidRPr="00B80543">
      <w:rPr>
        <w:rFonts w:ascii="Calibri" w:hAnsi="Calibri" w:cs="Calibri"/>
        <w:b/>
        <w:color w:val="F00000"/>
      </w:rPr>
      <w:t>OFFICIAL</w:t>
    </w:r>
    <w:r>
      <w:t xml:space="preserve"> </w:t>
    </w:r>
    <w:r>
      <w:fldChar w:fldCharType="end"/>
    </w:r>
  </w:p>
  <w:sdt>
    <w:sdtPr>
      <w:id w:val="931557892"/>
      <w:docPartObj>
        <w:docPartGallery w:val="Page Numbers (Bottom of Page)"/>
        <w:docPartUnique/>
      </w:docPartObj>
    </w:sdtPr>
    <w:sdtEndPr>
      <w:rPr>
        <w:noProof/>
      </w:rPr>
    </w:sdtEndPr>
    <w:sdtContent>
      <w:p w14:paraId="55A29F1E" w14:textId="4129FCD6" w:rsidR="004C1A1A" w:rsidRDefault="004C1A1A">
        <w:pPr>
          <w:pStyle w:val="Footer"/>
          <w:jc w:val="right"/>
        </w:pPr>
        <w:r>
          <w:fldChar w:fldCharType="begin"/>
        </w:r>
        <w:r>
          <w:instrText xml:space="preserve"> PAGE   \* MERGEFORMAT </w:instrText>
        </w:r>
        <w:r>
          <w:fldChar w:fldCharType="separate"/>
        </w:r>
        <w:r w:rsidR="00B80543">
          <w:rPr>
            <w:noProof/>
          </w:rPr>
          <w:t>4</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56DA0" w14:textId="77777777" w:rsidR="00B80543" w:rsidRPr="00B80543" w:rsidRDefault="00B80543" w:rsidP="00B80543">
    <w:pPr>
      <w:pStyle w:val="Footer"/>
      <w:jc w:val="center"/>
      <w:rPr>
        <w:rFonts w:ascii="Calibri" w:hAnsi="Calibri" w:cs="Calibri"/>
        <w:b/>
        <w:color w:val="F00000"/>
      </w:rPr>
    </w:pPr>
    <w:r>
      <w:fldChar w:fldCharType="begin" w:fldLock="1"/>
    </w:r>
    <w:r>
      <w:instrText xml:space="preserve"> DOCPROPERTY bjFooterFirstPageDocProperty \* MERGEFORMAT </w:instrText>
    </w:r>
    <w:r>
      <w:fldChar w:fldCharType="separate"/>
    </w:r>
  </w:p>
  <w:p w14:paraId="1AD1FB22" w14:textId="36BB71D6" w:rsidR="00B80543" w:rsidRPr="00B80543" w:rsidRDefault="00B80543" w:rsidP="00B80543">
    <w:pPr>
      <w:pStyle w:val="Footer"/>
      <w:jc w:val="center"/>
    </w:pPr>
    <w:r w:rsidRPr="00B80543">
      <w:rPr>
        <w:rFonts w:ascii="Calibri" w:hAnsi="Calibri" w:cs="Calibri"/>
        <w:b/>
        <w:color w:val="F00000"/>
      </w:rPr>
      <w:t>OFFICIAL</w:t>
    </w:r>
    <w:r>
      <w:t xml:space="preserve">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C7E40" w14:textId="77777777" w:rsidR="006A6872" w:rsidRDefault="006A6872" w:rsidP="004C1A1A">
      <w:pPr>
        <w:spacing w:after="0" w:line="240" w:lineRule="auto"/>
      </w:pPr>
      <w:r>
        <w:separator/>
      </w:r>
    </w:p>
  </w:footnote>
  <w:footnote w:type="continuationSeparator" w:id="0">
    <w:p w14:paraId="47344972" w14:textId="77777777" w:rsidR="006A6872" w:rsidRDefault="006A6872" w:rsidP="004C1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08B1E" w14:textId="77777777" w:rsidR="00B80543" w:rsidRPr="00B80543" w:rsidRDefault="00B80543" w:rsidP="00B80543">
    <w:pPr>
      <w:pStyle w:val="Header"/>
      <w:jc w:val="center"/>
      <w:rPr>
        <w:rFonts w:ascii="Calibri" w:hAnsi="Calibri" w:cs="Calibri"/>
        <w:b/>
        <w:color w:val="F00000"/>
      </w:rPr>
    </w:pPr>
    <w:r>
      <w:fldChar w:fldCharType="begin" w:fldLock="1"/>
    </w:r>
    <w:r>
      <w:instrText xml:space="preserve"> DOCPROPERTY bjHeaderEvenPageDocProperty \* MERGEFORMAT </w:instrText>
    </w:r>
    <w:r>
      <w:fldChar w:fldCharType="separate"/>
    </w:r>
    <w:r w:rsidRPr="00B80543">
      <w:rPr>
        <w:rFonts w:ascii="Calibri" w:hAnsi="Calibri" w:cs="Calibri"/>
        <w:b/>
        <w:color w:val="F00000"/>
      </w:rPr>
      <w:t>OFFICIAL</w:t>
    </w:r>
  </w:p>
  <w:p w14:paraId="07CD6BB8" w14:textId="7F85DCFB" w:rsidR="00B80543" w:rsidRPr="00B80543" w:rsidRDefault="00B80543" w:rsidP="00B80543">
    <w:pPr>
      <w:pStyle w:val="Header"/>
      <w:jc w:val="center"/>
    </w:pPr>
    <w:r w:rsidRPr="00B80543">
      <w:rPr>
        <w:rFonts w:ascii="Calibri" w:hAnsi="Calibri" w:cs="Calibri"/>
        <w:b/>
        <w:color w:val="F00000"/>
      </w:rPr>
      <w:t xml:space="preserve"> </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928B6" w14:textId="77777777" w:rsidR="00B80543" w:rsidRPr="00B80543" w:rsidRDefault="00B80543" w:rsidP="00B80543">
    <w:pPr>
      <w:pStyle w:val="Header"/>
      <w:jc w:val="center"/>
      <w:rPr>
        <w:rFonts w:ascii="Calibri" w:hAnsi="Calibri" w:cs="Calibri"/>
        <w:b/>
        <w:color w:val="F00000"/>
      </w:rPr>
    </w:pPr>
    <w:r>
      <w:fldChar w:fldCharType="begin" w:fldLock="1"/>
    </w:r>
    <w:r>
      <w:instrText xml:space="preserve"> DOCPROPERTY bjHeaderBothDocProperty \* MERGEFORMAT </w:instrText>
    </w:r>
    <w:r>
      <w:fldChar w:fldCharType="separate"/>
    </w:r>
    <w:r w:rsidRPr="00B80543">
      <w:rPr>
        <w:rFonts w:ascii="Calibri" w:hAnsi="Calibri" w:cs="Calibri"/>
        <w:b/>
        <w:color w:val="F00000"/>
      </w:rPr>
      <w:t>OFFICIAL</w:t>
    </w:r>
  </w:p>
  <w:p w14:paraId="101BCFD4" w14:textId="116B7D8D" w:rsidR="00B80543" w:rsidRPr="00B80543" w:rsidRDefault="00B80543" w:rsidP="00B80543">
    <w:pPr>
      <w:pStyle w:val="Header"/>
      <w:jc w:val="center"/>
    </w:pPr>
    <w:r w:rsidRPr="00B80543">
      <w:rPr>
        <w:rFonts w:ascii="Calibri" w:hAnsi="Calibri" w:cs="Calibri"/>
        <w:b/>
        <w:color w:val="F00000"/>
      </w:rPr>
      <w:t xml:space="preserve"> </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CF00A" w14:textId="77777777" w:rsidR="00B80543" w:rsidRPr="00B80543" w:rsidRDefault="00B80543" w:rsidP="00B80543">
    <w:pPr>
      <w:pStyle w:val="Header"/>
      <w:jc w:val="center"/>
      <w:rPr>
        <w:rFonts w:ascii="Calibri" w:hAnsi="Calibri" w:cs="Calibri"/>
        <w:b/>
        <w:color w:val="F00000"/>
      </w:rPr>
    </w:pPr>
    <w:r>
      <w:fldChar w:fldCharType="begin" w:fldLock="1"/>
    </w:r>
    <w:r>
      <w:instrText xml:space="preserve"> DOCPROPERTY bjHeaderFirstPageDocProperty \* MERGEFORMAT </w:instrText>
    </w:r>
    <w:r>
      <w:fldChar w:fldCharType="separate"/>
    </w:r>
    <w:r w:rsidRPr="00B80543">
      <w:rPr>
        <w:rFonts w:ascii="Calibri" w:hAnsi="Calibri" w:cs="Calibri"/>
        <w:b/>
        <w:color w:val="F00000"/>
      </w:rPr>
      <w:t>OFFICIAL</w:t>
    </w:r>
  </w:p>
  <w:p w14:paraId="19A1EE5B" w14:textId="4EE16967" w:rsidR="00B80543" w:rsidRPr="00B80543" w:rsidRDefault="00B80543" w:rsidP="00B80543">
    <w:pPr>
      <w:pStyle w:val="Header"/>
      <w:jc w:val="center"/>
    </w:pPr>
    <w:r w:rsidRPr="00B80543">
      <w:rPr>
        <w:rFonts w:ascii="Calibri" w:hAnsi="Calibri" w:cs="Calibri"/>
        <w:b/>
        <w:color w:val="F00000"/>
      </w:rPr>
      <w:t xml:space="preserve"> </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A1A"/>
    <w:rsid w:val="001E5146"/>
    <w:rsid w:val="00280050"/>
    <w:rsid w:val="002B2AEF"/>
    <w:rsid w:val="004C1A1A"/>
    <w:rsid w:val="005D77CC"/>
    <w:rsid w:val="006A6872"/>
    <w:rsid w:val="006D29D2"/>
    <w:rsid w:val="00B80543"/>
    <w:rsid w:val="00CA3A23"/>
    <w:rsid w:val="00F14D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C1704"/>
  <w15:chartTrackingRefBased/>
  <w15:docId w15:val="{83C8D962-5618-4253-8C7E-41058BF3D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C1A1A"/>
    <w:pPr>
      <w:spacing w:after="0" w:line="240" w:lineRule="auto"/>
      <w:outlineLvl w:val="0"/>
    </w:pPr>
    <w:rPr>
      <w:rFonts w:ascii="Helvetica" w:eastAsia="Times New Roman" w:hAnsi="Helvetica" w:cs="Helvetica"/>
      <w:b/>
      <w:bCs/>
      <w:color w:val="565A5C"/>
      <w:kern w:val="36"/>
      <w:sz w:val="48"/>
      <w:szCs w:val="48"/>
      <w:lang w:eastAsia="en-AU"/>
    </w:rPr>
  </w:style>
  <w:style w:type="paragraph" w:styleId="Heading3">
    <w:name w:val="heading 3"/>
    <w:basedOn w:val="Normal"/>
    <w:link w:val="Heading3Char"/>
    <w:uiPriority w:val="9"/>
    <w:qFormat/>
    <w:rsid w:val="004C1A1A"/>
    <w:pPr>
      <w:spacing w:after="0" w:line="240" w:lineRule="auto"/>
      <w:outlineLvl w:val="2"/>
    </w:pPr>
    <w:rPr>
      <w:rFonts w:ascii="Helvetica" w:eastAsia="Times New Roman" w:hAnsi="Helvetica" w:cs="Helvetica"/>
      <w:b/>
      <w:bCs/>
      <w:color w:val="565A5C"/>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1A1A"/>
    <w:rPr>
      <w:rFonts w:ascii="Helvetica" w:eastAsia="Times New Roman" w:hAnsi="Helvetica" w:cs="Helvetica"/>
      <w:b/>
      <w:bCs/>
      <w:color w:val="565A5C"/>
      <w:kern w:val="36"/>
      <w:sz w:val="48"/>
      <w:szCs w:val="48"/>
      <w:lang w:eastAsia="en-AU"/>
    </w:rPr>
  </w:style>
  <w:style w:type="character" w:customStyle="1" w:styleId="Heading3Char">
    <w:name w:val="Heading 3 Char"/>
    <w:basedOn w:val="DefaultParagraphFont"/>
    <w:link w:val="Heading3"/>
    <w:uiPriority w:val="9"/>
    <w:rsid w:val="004C1A1A"/>
    <w:rPr>
      <w:rFonts w:ascii="Helvetica" w:eastAsia="Times New Roman" w:hAnsi="Helvetica" w:cs="Helvetica"/>
      <w:b/>
      <w:bCs/>
      <w:color w:val="565A5C"/>
      <w:sz w:val="27"/>
      <w:szCs w:val="27"/>
      <w:lang w:eastAsia="en-AU"/>
    </w:rPr>
  </w:style>
  <w:style w:type="character" w:styleId="Hyperlink">
    <w:name w:val="Hyperlink"/>
    <w:basedOn w:val="DefaultParagraphFont"/>
    <w:uiPriority w:val="99"/>
    <w:semiHidden/>
    <w:unhideWhenUsed/>
    <w:rsid w:val="004C1A1A"/>
    <w:rPr>
      <w:strike w:val="0"/>
      <w:dstrike w:val="0"/>
      <w:color w:val="0099FF"/>
      <w:u w:val="none"/>
      <w:effect w:val="none"/>
    </w:rPr>
  </w:style>
  <w:style w:type="character" w:styleId="Emphasis">
    <w:name w:val="Emphasis"/>
    <w:basedOn w:val="DefaultParagraphFont"/>
    <w:uiPriority w:val="20"/>
    <w:qFormat/>
    <w:rsid w:val="004C1A1A"/>
    <w:rPr>
      <w:i/>
      <w:iCs/>
    </w:rPr>
  </w:style>
  <w:style w:type="paragraph" w:styleId="NormalWeb">
    <w:name w:val="Normal (Web)"/>
    <w:basedOn w:val="Normal"/>
    <w:uiPriority w:val="99"/>
    <w:semiHidden/>
    <w:unhideWhenUsed/>
    <w:rsid w:val="004C1A1A"/>
    <w:pPr>
      <w:spacing w:after="0" w:line="240" w:lineRule="auto"/>
    </w:pPr>
    <w:rPr>
      <w:rFonts w:ascii="inherit" w:eastAsia="Times New Roman" w:hAnsi="inherit"/>
      <w:lang w:eastAsia="en-AU"/>
    </w:rPr>
  </w:style>
  <w:style w:type="paragraph" w:styleId="Header">
    <w:name w:val="header"/>
    <w:basedOn w:val="Normal"/>
    <w:link w:val="HeaderChar"/>
    <w:uiPriority w:val="99"/>
    <w:unhideWhenUsed/>
    <w:rsid w:val="004C1A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1A1A"/>
  </w:style>
  <w:style w:type="paragraph" w:styleId="Footer">
    <w:name w:val="footer"/>
    <w:basedOn w:val="Normal"/>
    <w:link w:val="FooterChar"/>
    <w:uiPriority w:val="99"/>
    <w:unhideWhenUsed/>
    <w:rsid w:val="004C1A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1A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471581">
      <w:bodyDiv w:val="1"/>
      <w:marLeft w:val="0"/>
      <w:marRight w:val="0"/>
      <w:marTop w:val="0"/>
      <w:marBottom w:val="0"/>
      <w:divBdr>
        <w:top w:val="none" w:sz="0" w:space="0" w:color="auto"/>
        <w:left w:val="none" w:sz="0" w:space="0" w:color="auto"/>
        <w:bottom w:val="none" w:sz="0" w:space="0" w:color="auto"/>
        <w:right w:val="none" w:sz="0" w:space="0" w:color="auto"/>
      </w:divBdr>
      <w:divsChild>
        <w:div w:id="1244880421">
          <w:marLeft w:val="0"/>
          <w:marRight w:val="0"/>
          <w:marTop w:val="0"/>
          <w:marBottom w:val="0"/>
          <w:divBdr>
            <w:top w:val="none" w:sz="0" w:space="0" w:color="auto"/>
            <w:left w:val="none" w:sz="0" w:space="0" w:color="auto"/>
            <w:bottom w:val="none" w:sz="0" w:space="0" w:color="auto"/>
            <w:right w:val="none" w:sz="0" w:space="0" w:color="auto"/>
          </w:divBdr>
          <w:divsChild>
            <w:div w:id="743530805">
              <w:marLeft w:val="0"/>
              <w:marRight w:val="0"/>
              <w:marTop w:val="0"/>
              <w:marBottom w:val="0"/>
              <w:divBdr>
                <w:top w:val="none" w:sz="0" w:space="0" w:color="auto"/>
                <w:left w:val="none" w:sz="0" w:space="0" w:color="auto"/>
                <w:bottom w:val="none" w:sz="0" w:space="0" w:color="auto"/>
                <w:right w:val="none" w:sz="0" w:space="0" w:color="auto"/>
              </w:divBdr>
              <w:divsChild>
                <w:div w:id="1129662280">
                  <w:marLeft w:val="0"/>
                  <w:marRight w:val="0"/>
                  <w:marTop w:val="0"/>
                  <w:marBottom w:val="0"/>
                  <w:divBdr>
                    <w:top w:val="none" w:sz="0" w:space="0" w:color="auto"/>
                    <w:left w:val="none" w:sz="0" w:space="0" w:color="auto"/>
                    <w:bottom w:val="none" w:sz="0" w:space="0" w:color="auto"/>
                    <w:right w:val="none" w:sz="0" w:space="0" w:color="auto"/>
                  </w:divBdr>
                  <w:divsChild>
                    <w:div w:id="1176530183">
                      <w:marLeft w:val="0"/>
                      <w:marRight w:val="0"/>
                      <w:marTop w:val="0"/>
                      <w:marBottom w:val="0"/>
                      <w:divBdr>
                        <w:top w:val="none" w:sz="0" w:space="0" w:color="auto"/>
                        <w:left w:val="none" w:sz="0" w:space="0" w:color="auto"/>
                        <w:bottom w:val="none" w:sz="0" w:space="0" w:color="auto"/>
                        <w:right w:val="none" w:sz="0" w:space="0" w:color="auto"/>
                      </w:divBdr>
                      <w:divsChild>
                        <w:div w:id="122509160">
                          <w:marLeft w:val="0"/>
                          <w:marRight w:val="0"/>
                          <w:marTop w:val="0"/>
                          <w:marBottom w:val="0"/>
                          <w:divBdr>
                            <w:top w:val="none" w:sz="0" w:space="0" w:color="auto"/>
                            <w:left w:val="none" w:sz="0" w:space="0" w:color="auto"/>
                            <w:bottom w:val="none" w:sz="0" w:space="0" w:color="auto"/>
                            <w:right w:val="none" w:sz="0" w:space="0" w:color="auto"/>
                          </w:divBdr>
                          <w:divsChild>
                            <w:div w:id="1428690762">
                              <w:marLeft w:val="0"/>
                              <w:marRight w:val="0"/>
                              <w:marTop w:val="0"/>
                              <w:marBottom w:val="0"/>
                              <w:divBdr>
                                <w:top w:val="none" w:sz="0" w:space="0" w:color="auto"/>
                                <w:left w:val="none" w:sz="0" w:space="0" w:color="auto"/>
                                <w:bottom w:val="none" w:sz="0" w:space="0" w:color="auto"/>
                                <w:right w:val="none" w:sz="0" w:space="0" w:color="auto"/>
                              </w:divBdr>
                              <w:divsChild>
                                <w:div w:id="10654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369256">
                  <w:marLeft w:val="0"/>
                  <w:marRight w:val="0"/>
                  <w:marTop w:val="0"/>
                  <w:marBottom w:val="0"/>
                  <w:divBdr>
                    <w:top w:val="none" w:sz="0" w:space="0" w:color="auto"/>
                    <w:left w:val="none" w:sz="0" w:space="0" w:color="auto"/>
                    <w:bottom w:val="none" w:sz="0" w:space="0" w:color="auto"/>
                    <w:right w:val="none" w:sz="0" w:space="0" w:color="auto"/>
                  </w:divBdr>
                  <w:divsChild>
                    <w:div w:id="1496609448">
                      <w:marLeft w:val="0"/>
                      <w:marRight w:val="0"/>
                      <w:marTop w:val="0"/>
                      <w:marBottom w:val="0"/>
                      <w:divBdr>
                        <w:top w:val="none" w:sz="0" w:space="0" w:color="auto"/>
                        <w:left w:val="none" w:sz="0" w:space="0" w:color="auto"/>
                        <w:bottom w:val="none" w:sz="0" w:space="0" w:color="auto"/>
                        <w:right w:val="none" w:sz="0" w:space="0" w:color="auto"/>
                      </w:divBdr>
                      <w:divsChild>
                        <w:div w:id="196549169">
                          <w:marLeft w:val="0"/>
                          <w:marRight w:val="0"/>
                          <w:marTop w:val="0"/>
                          <w:marBottom w:val="0"/>
                          <w:divBdr>
                            <w:top w:val="none" w:sz="0" w:space="0" w:color="auto"/>
                            <w:left w:val="none" w:sz="0" w:space="0" w:color="auto"/>
                            <w:bottom w:val="none" w:sz="0" w:space="0" w:color="auto"/>
                            <w:right w:val="none" w:sz="0" w:space="0" w:color="auto"/>
                          </w:divBdr>
                          <w:divsChild>
                            <w:div w:id="546995615">
                              <w:marLeft w:val="0"/>
                              <w:marRight w:val="0"/>
                              <w:marTop w:val="0"/>
                              <w:marBottom w:val="0"/>
                              <w:divBdr>
                                <w:top w:val="none" w:sz="0" w:space="0" w:color="auto"/>
                                <w:left w:val="none" w:sz="0" w:space="0" w:color="auto"/>
                                <w:bottom w:val="none" w:sz="0" w:space="0" w:color="auto"/>
                                <w:right w:val="none" w:sz="0" w:space="0" w:color="auto"/>
                              </w:divBdr>
                              <w:divsChild>
                                <w:div w:id="1379939299">
                                  <w:marLeft w:val="0"/>
                                  <w:marRight w:val="0"/>
                                  <w:marTop w:val="0"/>
                                  <w:marBottom w:val="0"/>
                                  <w:divBdr>
                                    <w:top w:val="none" w:sz="0" w:space="0" w:color="auto"/>
                                    <w:left w:val="none" w:sz="0" w:space="0" w:color="auto"/>
                                    <w:bottom w:val="none" w:sz="0" w:space="0" w:color="auto"/>
                                    <w:right w:val="none" w:sz="0" w:space="0" w:color="auto"/>
                                  </w:divBdr>
                                  <w:divsChild>
                                    <w:div w:id="1330910651">
                                      <w:marLeft w:val="0"/>
                                      <w:marRight w:val="0"/>
                                      <w:marTop w:val="0"/>
                                      <w:marBottom w:val="0"/>
                                      <w:divBdr>
                                        <w:top w:val="none" w:sz="0" w:space="0" w:color="auto"/>
                                        <w:left w:val="none" w:sz="0" w:space="0" w:color="auto"/>
                                        <w:bottom w:val="none" w:sz="0" w:space="0" w:color="auto"/>
                                        <w:right w:val="none" w:sz="0" w:space="0" w:color="auto"/>
                                      </w:divBdr>
                                      <w:divsChild>
                                        <w:div w:id="95043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017130">
                              <w:marLeft w:val="0"/>
                              <w:marRight w:val="0"/>
                              <w:marTop w:val="0"/>
                              <w:marBottom w:val="0"/>
                              <w:divBdr>
                                <w:top w:val="none" w:sz="0" w:space="0" w:color="auto"/>
                                <w:left w:val="none" w:sz="0" w:space="0" w:color="auto"/>
                                <w:bottom w:val="none" w:sz="0" w:space="0" w:color="auto"/>
                                <w:right w:val="none" w:sz="0" w:space="0" w:color="auto"/>
                              </w:divBdr>
                              <w:divsChild>
                                <w:div w:id="182527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souvenaid.com.au/Souvenaid/What-is-Souvenaid%C2%AE-/" TargetMode="External"/><Relationship Id="rId21" Type="http://schemas.openxmlformats.org/officeDocument/2006/relationships/hyperlink" Target="https://www.nhmrc.gov.au/about-us/publications/australian-dietary-guidelines" TargetMode="External"/><Relationship Id="rId34" Type="http://schemas.openxmlformats.org/officeDocument/2006/relationships/hyperlink" Target="http://www.cmaustralia.org.au/" TargetMode="External"/><Relationship Id="rId42" Type="http://schemas.openxmlformats.org/officeDocument/2006/relationships/hyperlink" Target="https://www.tga.gov.au/food-medicine-interface-guidance-tool-fmigt" TargetMode="External"/><Relationship Id="rId47" Type="http://schemas.openxmlformats.org/officeDocument/2006/relationships/hyperlink" Target="https://compliance.tga.gov.au/investigations-database/" TargetMode="External"/><Relationship Id="rId50" Type="http://schemas.openxmlformats.org/officeDocument/2006/relationships/hyperlink" Target="https://www.aph.gov.au/Parliamentary_Business/Committees/Senate/Community_Affairs/TGA2017MeasuresNo1" TargetMode="External"/><Relationship Id="rId55" Type="http://schemas.openxmlformats.org/officeDocument/2006/relationships/hyperlink" Target="https://www.accc.gov.au/" TargetMode="External"/><Relationship Id="rId63" Type="http://schemas.openxmlformats.org/officeDocument/2006/relationships/header" Target="head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yperlink" Target="https://www.ncbi.nlm.nih.gov/pmc/articles/PMC5505045/" TargetMode="External"/><Relationship Id="rId29" Type="http://schemas.openxmlformats.org/officeDocument/2006/relationships/hyperlink" Target="http://www.foodstandards.gov.au/science/monitoringnutrients/afcd/Pages/default.aspx" TargetMode="External"/><Relationship Id="rId11" Type="http://schemas.openxmlformats.org/officeDocument/2006/relationships/footnotes" Target="footnotes.xml"/><Relationship Id="rId24" Type="http://schemas.openxmlformats.org/officeDocument/2006/relationships/hyperlink" Target="https://www.ncbi.nlm.nih.gov/pubmed/30800019" TargetMode="External"/><Relationship Id="rId32" Type="http://schemas.openxmlformats.org/officeDocument/2006/relationships/hyperlink" Target="https://www.souvenaid.com.au/Souvenaid/How-does-Souvenaid%C2%AE-work-/" TargetMode="External"/><Relationship Id="rId37" Type="http://schemas.openxmlformats.org/officeDocument/2006/relationships/hyperlink" Target="https://theconversation.com/kids-vitamin-gummies-unhealthy-poorly-regulated-and-exploitative-76466" TargetMode="External"/><Relationship Id="rId40" Type="http://schemas.openxmlformats.org/officeDocument/2006/relationships/hyperlink" Target="https://www.medreach.com.au/tga-fails-to-act-on-the-promotion-and-sale-of-unapproved-therapeutic-goods/" TargetMode="External"/><Relationship Id="rId45" Type="http://schemas.openxmlformats.org/officeDocument/2006/relationships/hyperlink" Target="https://www.fatblaster.com.au/" TargetMode="External"/><Relationship Id="rId53" Type="http://schemas.openxmlformats.org/officeDocument/2006/relationships/hyperlink" Target="https://www.scienceinmedicine.org.au/" TargetMode="External"/><Relationship Id="rId58" Type="http://schemas.openxmlformats.org/officeDocument/2006/relationships/hyperlink" Target="https://www.anao.gov.au/work/performance-audit/therapeutic-goods-regulation-complementary-medicines" TargetMode="External"/><Relationship Id="rId66"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footer" Target="footer1.xml"/><Relationship Id="rId19" Type="http://schemas.openxmlformats.org/officeDocument/2006/relationships/hyperlink" Target="https://www.legislation.gov.au/Details/F2017C00721/Download" TargetMode="External"/><Relationship Id="rId14" Type="http://schemas.openxmlformats.org/officeDocument/2006/relationships/hyperlink" Target="https://www.tga.gov.au/community-qa/food-and-medicine-regulation" TargetMode="External"/><Relationship Id="rId22" Type="http://schemas.openxmlformats.org/officeDocument/2006/relationships/hyperlink" Target="https://www.ncbi.nlm.nih.gov/pubmed/28419459" TargetMode="External"/><Relationship Id="rId27" Type="http://schemas.openxmlformats.org/officeDocument/2006/relationships/hyperlink" Target="https://nutricia.com.au/" TargetMode="External"/><Relationship Id="rId30" Type="http://schemas.openxmlformats.org/officeDocument/2006/relationships/hyperlink" Target="https://www.tga.gov.au/publication/therapeutic-goods-advertising-code" TargetMode="External"/><Relationship Id="rId35" Type="http://schemas.openxmlformats.org/officeDocument/2006/relationships/hyperlink" Target="https://theconversation.com/kids-vitamin-gummies-unhealthy-poorly-regulated-and-exploitative-76466" TargetMode="External"/><Relationship Id="rId43" Type="http://schemas.openxmlformats.org/officeDocument/2006/relationships/hyperlink" Target="https://www.researchgate.net/publication/331500165_How_effective_is_food_industry_self-substantiation_of_food-health_relationships_underpinning_health_claims_on_food_labels_in_Australia" TargetMode="External"/><Relationship Id="rId48" Type="http://schemas.openxmlformats.org/officeDocument/2006/relationships/hyperlink" Target="https://compliance.tga.gov.au/investigations-database/complaints/?ref=AL-DPH7VG0J%2f2019&amp;case=CC-NC8NRQHB%2f2019%2a" TargetMode="External"/><Relationship Id="rId56" Type="http://schemas.openxmlformats.org/officeDocument/2006/relationships/hyperlink" Target="https://www.legislation.gov.au/Details/C2017C00375" TargetMode="External"/><Relationship Id="rId64" Type="http://schemas.openxmlformats.org/officeDocument/2006/relationships/footer" Target="footer3.xml"/><Relationship Id="rId8" Type="http://schemas.openxmlformats.org/officeDocument/2006/relationships/styles" Target="styles.xml"/><Relationship Id="rId51" Type="http://schemas.openxmlformats.org/officeDocument/2006/relationships/hyperlink" Target="https://www.phaa.net.au/" TargetMode="Externa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www.legislation.gov.au/Details/F2017C01048" TargetMode="External"/><Relationship Id="rId25" Type="http://schemas.openxmlformats.org/officeDocument/2006/relationships/hyperlink" Target="https://www.legislation.gov.au/Details/F2016C00081" TargetMode="External"/><Relationship Id="rId33" Type="http://schemas.openxmlformats.org/officeDocument/2006/relationships/hyperlink" Target="https://theconversation.com/regulations-around-food-medicine-products-fail-to-protect-consumers-14360" TargetMode="External"/><Relationship Id="rId38" Type="http://schemas.openxmlformats.org/officeDocument/2006/relationships/hyperlink" Target="https://www.medreach.com.au/tga-fails-to-act-on-illegal-sports-supplements/" TargetMode="External"/><Relationship Id="rId46" Type="http://schemas.openxmlformats.org/officeDocument/2006/relationships/hyperlink" Target="https://www.medreach.com.au/tga-fails-to-act-on-illegal-sports-supplements/" TargetMode="External"/><Relationship Id="rId59" Type="http://schemas.openxmlformats.org/officeDocument/2006/relationships/header" Target="header1.xml"/><Relationship Id="rId20" Type="http://schemas.openxmlformats.org/officeDocument/2006/relationships/hyperlink" Target="https://www.choice.com.au/food-and-drink/drinks/sports-drinks-energy-drinks-and-soft-drinks/articles/sports-drinks-vs-water" TargetMode="External"/><Relationship Id="rId41" Type="http://schemas.openxmlformats.org/officeDocument/2006/relationships/hyperlink" Target="https://www.legislation.gov.au/Series/C2004A03952" TargetMode="External"/><Relationship Id="rId54" Type="http://schemas.openxmlformats.org/officeDocument/2006/relationships/hyperlink" Target="https://www.aph.gov.au/Parliamentary_Business/Committees/Senate/Community_Affairs/TGA2017MeasuresNo1/Submissions"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www.foodstandards.gov.au/about/Pages/default.aspx" TargetMode="External"/><Relationship Id="rId23" Type="http://schemas.openxmlformats.org/officeDocument/2006/relationships/hyperlink" Target="https://www.ncbi.nlm.nih.gov/pubmed/27338907" TargetMode="External"/><Relationship Id="rId28" Type="http://schemas.openxmlformats.org/officeDocument/2006/relationships/hyperlink" Target="https://www.souvenaid.com.au/Souvenaid/What-is-in-Souvenaid%C2%AE-/" TargetMode="External"/><Relationship Id="rId36" Type="http://schemas.openxmlformats.org/officeDocument/2006/relationships/hyperlink" Target="https://theconversation.com/kids-vitamin-gummies-unhealthy-poorly-regulated-and-exploitative-76466" TargetMode="External"/><Relationship Id="rId49" Type="http://schemas.openxmlformats.org/officeDocument/2006/relationships/hyperlink" Target="https://www.aph.gov.au/Parliamentary_Business/Committees/Senate/Community_Affairs/TGA2017MeasuresNo1/Submissions" TargetMode="External"/><Relationship Id="rId57" Type="http://schemas.openxmlformats.org/officeDocument/2006/relationships/hyperlink" Target="https://www.anao.gov.au/" TargetMode="External"/><Relationship Id="rId10" Type="http://schemas.openxmlformats.org/officeDocument/2006/relationships/webSettings" Target="webSettings.xml"/><Relationship Id="rId31" Type="http://schemas.openxmlformats.org/officeDocument/2006/relationships/hyperlink" Target="https://www.ncbi.nlm.nih.gov/pubmed/26638900" TargetMode="External"/><Relationship Id="rId44" Type="http://schemas.openxmlformats.org/officeDocument/2006/relationships/hyperlink" Target="https://www.medreach.com.au/launch-of-tga-advertising-hub-initial-experience-of-submitting-complaints/" TargetMode="External"/><Relationship Id="rId52" Type="http://schemas.openxmlformats.org/officeDocument/2006/relationships/hyperlink" Target="https://www.choice.com.au/"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insightplus.mja.com.au/2019/15" TargetMode="External"/><Relationship Id="rId18" Type="http://schemas.openxmlformats.org/officeDocument/2006/relationships/hyperlink" Target="https://www.researchgate.net/publication/331500165_How_effective_is_food_industry_self-substantiation_of_food-health_relationships_underpinning_health_claims_on_food_labels_in_Australia" TargetMode="External"/><Relationship Id="rId39" Type="http://schemas.openxmlformats.org/officeDocument/2006/relationships/hyperlink" Target="https://www.medreach.com.au/consequences-of-tga-failure-to-act-on-illegal-produ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mso-contentType ?>
<SharedContentType xmlns="Microsoft.SharePoint.Taxonomy.ContentTypeSync" SourceId="8959f586-1386-49a0-8f25-29490ba8c513" ContentTypeId="0x01010004C4C934AD08B647A78FCADD498BE31902"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elated_x0020_project xmlns="ec50576e-4a27-4780-a1e1-e59563bc70b8" xsi:nil="true"/>
    <TaxCatchAll xmlns="ec50576e-4a27-4780-a1e1-e59563bc70b8">
      <Value>450</Value>
    </TaxCatchAll>
    <bd06d2da0152468b9236b575a71e0e7c xmlns="ec50576e-4a27-4780-a1e1-e59563bc70b8">
      <Terms xmlns="http://schemas.microsoft.com/office/infopath/2007/PartnerControls">
        <TermInfo xmlns="http://schemas.microsoft.com/office/infopath/2007/PartnerControls">
          <TermName xmlns="http://schemas.microsoft.com/office/infopath/2007/PartnerControls">Freedom of Information</TermName>
          <TermId xmlns="http://schemas.microsoft.com/office/infopath/2007/PartnerControls">749649d1-86f8-49f1-b772-21ea64c76f84</TermId>
        </TermInfo>
      </Terms>
    </bd06d2da0152468b9236b575a71e0e7c>
    <_dlc_DocIdPersistId xmlns="5759555f-5bed-45a4-a4c2-4e28e2623455" xsi:nil="true"/>
    <_dlc_DocId xmlns="5759555f-5bed-45a4-a4c2-4e28e2623455">MMF7YEMDTSDN-321-22049</_dlc_DocId>
    <_dlc_DocIdUrl xmlns="5759555f-5bed-45a4-a4c2-4e28e2623455">
      <Url>http://fsintranet/IWG/FOI/_layouts/15/DocIdRedir.aspx?ID=MMF7YEMDTSDN-321-22049</Url>
      <Description>MMF7YEMDTSDN-321-22049</Description>
    </_dlc_DocIdUrl>
    <Attachement xmlns="5759555f-5bed-45a4-a4c2-4e28e2623455">true</Attachement>
    <Abstract xmlns="5759555f-5bed-45a4-a4c2-4e28e2623455" xsi:nil="true"/>
    <Links xmlns="5759555f-5bed-45a4-a4c2-4e28e2623455" xsi:nil="true"/>
    <a41428b017d04df981d58ffdf035d7b8 xmlns="ec50576e-4a27-4780-a1e1-e59563bc70b8">
      <Terms xmlns="http://schemas.microsoft.com/office/infopath/2007/PartnerControls"/>
    </a41428b017d04df981d58ffdf035d7b8>
    <Hyperlink xmlns="5759555f-5bed-45a4-a4c2-4e28e2623455">
      <Url xsi:nil="true"/>
      <Description xsi:nil="true"/>
    </Hyperlink>
    <Agenda xmlns="5759555f-5bed-45a4-a4c2-4e28e2623455" xsi:nil="true"/>
  </documentManagement>
</p:properties>
</file>

<file path=customXml/item6.xml><?xml version="1.0" encoding="utf-8"?>
<sisl xmlns:xsd="http://www.w3.org/2001/XMLSchema" xmlns:xsi="http://www.w3.org/2001/XMLSchema-instance" xmlns="http://www.boldonjames.com/2008/01/sie/internal/label" sislVersion="0" policy="1865c0a7-d648-4a74-80fe-fa9dc7fe13cc" origin="userSelected">
  <element uid="dd6c74cc-0de9-4a0a-85ef-439e2ceecf74" value=""/>
</sisl>
</file>

<file path=customXml/item7.xml><?xml version="1.0" encoding="utf-8"?>
<ct:contentTypeSchema xmlns:ct="http://schemas.microsoft.com/office/2006/metadata/contentType" xmlns:ma="http://schemas.microsoft.com/office/2006/metadata/properties/metaAttributes" ct:_="" ma:_="" ma:contentTypeName="FSANZ Record" ma:contentTypeID="0x01010004C4C934AD08B647A78FCADD498BE319020048BC09BC1F794C4B8DECF254AB4E614B" ma:contentTypeVersion="45" ma:contentTypeDescription="FSANZ Record" ma:contentTypeScope="" ma:versionID="3192fd5de4356aa5034e4ec8f0c2392d">
  <xsd:schema xmlns:xsd="http://www.w3.org/2001/XMLSchema" xmlns:xs="http://www.w3.org/2001/XMLSchema" xmlns:p="http://schemas.microsoft.com/office/2006/metadata/properties" xmlns:ns3="ec50576e-4a27-4780-a1e1-e59563bc70b8" xmlns:ns4="5759555f-5bed-45a4-a4c2-4e28e2623455" targetNamespace="http://schemas.microsoft.com/office/2006/metadata/properties" ma:root="true" ma:fieldsID="2e237e44d0a3b706837cc3fbe77fd7e1" ns3:_="" ns4:_="">
    <xsd:import namespace="ec50576e-4a27-4780-a1e1-e59563bc70b8"/>
    <xsd:import namespace="5759555f-5bed-45a4-a4c2-4e28e2623455"/>
    <xsd:element name="properties">
      <xsd:complexType>
        <xsd:sequence>
          <xsd:element name="documentManagement">
            <xsd:complexType>
              <xsd:all>
                <xsd:element ref="ns3:bd06d2da0152468b9236b575a71e0e7c" minOccurs="0"/>
                <xsd:element ref="ns3:TaxCatchAll" minOccurs="0"/>
                <xsd:element ref="ns3:TaxCatchAllLabel" minOccurs="0"/>
                <xsd:element ref="ns3:Related_x0020_project" minOccurs="0"/>
                <xsd:element ref="ns3:a41428b017d04df981d58ffdf035d7b8" minOccurs="0"/>
                <xsd:element ref="ns4:_dlc_DocId" minOccurs="0"/>
                <xsd:element ref="ns4:_dlc_DocIdUrl" minOccurs="0"/>
                <xsd:element ref="ns4:_dlc_DocIdPersistId" minOccurs="0"/>
                <xsd:element ref="ns4:Attachement" minOccurs="0"/>
                <xsd:element ref="ns4:Abstract" minOccurs="0"/>
                <xsd:element ref="ns4:Agenda" minOccurs="0"/>
                <xsd:element ref="ns4:Hyperlink" minOccurs="0"/>
                <xsd:element ref="ns4:Lin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0576e-4a27-4780-a1e1-e59563bc70b8" elementFormDefault="qualified">
    <xsd:import namespace="http://schemas.microsoft.com/office/2006/documentManagement/types"/>
    <xsd:import namespace="http://schemas.microsoft.com/office/infopath/2007/PartnerControls"/>
    <xsd:element name="bd06d2da0152468b9236b575a71e0e7c" ma:index="9" ma:taxonomy="true" ma:internalName="bd06d2da0152468b9236b575a71e0e7c" ma:taxonomyFieldName="BCS_" ma:displayName="BCS" ma:readOnly="false" ma:default="" ma:fieldId="{bd06d2da-0152-468b-9236-b575a71e0e7c}" ma:sspId="8959f586-1386-49a0-8f25-29490ba8c513" ma:termSetId="fc8f01d6-1aad-49dd-91fa-931823794f85"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b99702b-f02c-439b-bf93-e301643b6a94}" ma:internalName="TaxCatchAll" ma:showField="CatchAllData" ma:web="5759555f-5bed-45a4-a4c2-4e28e262345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b99702b-f02c-439b-bf93-e301643b6a94}" ma:internalName="TaxCatchAllLabel" ma:readOnly="true" ma:showField="CatchAllDataLabel" ma:web="5759555f-5bed-45a4-a4c2-4e28e2623455">
      <xsd:complexType>
        <xsd:complexContent>
          <xsd:extension base="dms:MultiChoiceLookup">
            <xsd:sequence>
              <xsd:element name="Value" type="dms:Lookup" maxOccurs="unbounded" minOccurs="0" nillable="true"/>
            </xsd:sequence>
          </xsd:extension>
        </xsd:complexContent>
      </xsd:complexType>
    </xsd:element>
    <xsd:element name="Related_x0020_project" ma:index="13" nillable="true" ma:displayName="Related project" ma:description="Project ID this item relates to. eg: W1234" ma:internalName="Related_x0020_project">
      <xsd:simpleType>
        <xsd:restriction base="dms:Text">
          <xsd:maxLength value="255"/>
        </xsd:restriction>
      </xsd:simpleType>
    </xsd:element>
    <xsd:element name="a41428b017d04df981d58ffdf035d7b8" ma:index="14" nillable="true" ma:taxonomy="true" ma:internalName="a41428b017d04df981d58ffdf035d7b8" ma:taxonomyFieldName="DisposalClass" ma:displayName="DisposalClass" ma:readOnly="false" ma:default="" ma:fieldId="{a41428b0-17d0-4df9-81d5-8ffdf035d7b8}" ma:sspId="8959f586-1386-49a0-8f25-29490ba8c513" ma:termSetId="4886b3e6-2651-43e1-8d8c-92aa8c291d4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759555f-5bed-45a4-a4c2-4e28e2623455"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Attachement" ma:index="20" nillable="true" ma:displayName="Attachement" ma:default="1" ma:internalName="Attachement">
      <xsd:simpleType>
        <xsd:restriction base="dms:Boolean"/>
      </xsd:simpleType>
    </xsd:element>
    <xsd:element name="Abstract" ma:index="21" nillable="true" ma:displayName="Abstract" ma:internalName="Abstract">
      <xsd:simpleType>
        <xsd:restriction base="dms:Note">
          <xsd:maxLength value="255"/>
        </xsd:restriction>
      </xsd:simpleType>
    </xsd:element>
    <xsd:element name="Agenda" ma:index="22" nillable="true" ma:displayName="Agenda" ma:description="" ma:internalName="Agenda">
      <xsd:simpleType>
        <xsd:restriction base="dms:Note">
          <xsd:maxLength value="255"/>
        </xsd:restriction>
      </xsd:simpleType>
    </xsd:element>
    <xsd:element name="Hyperlink" ma:index="23"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Links" ma:index="24" nillable="true" ma:displayName="Links" ma:internalName="Link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7DC48B-4A91-417F-8334-2F95BD5ABB77}">
  <ds:schemaRefs>
    <ds:schemaRef ds:uri="http://schemas.microsoft.com/office/2006/metadata/customXsn"/>
  </ds:schemaRefs>
</ds:datastoreItem>
</file>

<file path=customXml/itemProps2.xml><?xml version="1.0" encoding="utf-8"?>
<ds:datastoreItem xmlns:ds="http://schemas.openxmlformats.org/officeDocument/2006/customXml" ds:itemID="{EBFF42F0-43E5-43A1-87FD-E5BD500AAC50}"/>
</file>

<file path=customXml/itemProps3.xml><?xml version="1.0" encoding="utf-8"?>
<ds:datastoreItem xmlns:ds="http://schemas.openxmlformats.org/officeDocument/2006/customXml" ds:itemID="{B09E370C-E1E9-4F6E-8AD5-E84FBF9EA0D5}">
  <ds:schemaRefs>
    <ds:schemaRef ds:uri="http://schemas.microsoft.com/sharepoint/v3/contenttype/forms"/>
  </ds:schemaRefs>
</ds:datastoreItem>
</file>

<file path=customXml/itemProps4.xml><?xml version="1.0" encoding="utf-8"?>
<ds:datastoreItem xmlns:ds="http://schemas.openxmlformats.org/officeDocument/2006/customXml" ds:itemID="{B2F8318C-BB69-4B98-988B-D640D62D045B}"/>
</file>

<file path=customXml/itemProps5.xml><?xml version="1.0" encoding="utf-8"?>
<ds:datastoreItem xmlns:ds="http://schemas.openxmlformats.org/officeDocument/2006/customXml" ds:itemID="{6D02E56C-E53C-41A2-B976-8A2C81201F7C}">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5759555f-5bed-45a4-a4c2-4e28e2623455"/>
    <ds:schemaRef ds:uri="http://www.w3.org/XML/1998/namespace"/>
    <ds:schemaRef ds:uri="http://schemas.microsoft.com/office/infopath/2007/PartnerControls"/>
    <ds:schemaRef ds:uri="ec50576e-4a27-4780-a1e1-e59563bc70b8"/>
    <ds:schemaRef ds:uri="http://purl.org/dc/dcmitype/"/>
    <ds:schemaRef ds:uri="http://purl.org/dc/terms/"/>
  </ds:schemaRefs>
</ds:datastoreItem>
</file>

<file path=customXml/itemProps6.xml><?xml version="1.0" encoding="utf-8"?>
<ds:datastoreItem xmlns:ds="http://schemas.openxmlformats.org/officeDocument/2006/customXml" ds:itemID="{F35561C8-E3A0-47BB-A9A0-2A75D1994FAF}">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B9DE3DF1-C6C9-4A6F-8082-99C99C70E95F}"/>
</file>

<file path=docProps/app.xml><?xml version="1.0" encoding="utf-8"?>
<Properties xmlns="http://schemas.openxmlformats.org/officeDocument/2006/extended-properties" xmlns:vt="http://schemas.openxmlformats.org/officeDocument/2006/docPropsVTypes">
  <Template>Normal</Template>
  <TotalTime>0</TotalTime>
  <Pages>4</Pages>
  <Words>2096</Words>
  <Characters>11951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14019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Barry, Glenn</dc:creator>
  <cp:keywords/>
  <dc:description/>
  <cp:lastModifiedBy>Emma Breen</cp:lastModifiedBy>
  <cp:revision>2</cp:revision>
  <dcterms:created xsi:type="dcterms:W3CDTF">2021-10-05T03:51:00Z</dcterms:created>
  <dcterms:modified xsi:type="dcterms:W3CDTF">2021-10-05T03:51:00Z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0x01010004C4C934AD08B647A78FCADD498BE319020048BC09BC1F794C4B8DECF254AB4E614B</vt:lpwstr>
  </property>
  <property fmtid="{D5CDD505-2E9C-101B-9397-08002B2CF9AE}" pid="3" name="_dlc_DocIdItemGuid">
    <vt:lpwstr>f677e3be-07e7-470b-bbb2-89f49c4da9a5</vt:lpwstr>
  </property>
  <property fmtid="{D5CDD505-2E9C-101B-9397-08002B2CF9AE}" pid="4" name="DisposalClass">
    <vt:lpwstr/>
  </property>
  <property fmtid="{D5CDD505-2E9C-101B-9397-08002B2CF9AE}" pid="5" name="BCS_">
    <vt:lpwstr>450;#Freedom of Information|749649d1-86f8-49f1-b772-21ea64c76f84</vt:lpwstr>
  </property>
  <property fmtid="{D5CDD505-2E9C-101B-9397-08002B2CF9AE}" pid="6" name="docIndexRef">
    <vt:lpwstr>137f7145-fa27-4319-9cca-8763e8207afd</vt:lpwstr>
  </property>
  <property fmtid="{D5CDD505-2E9C-101B-9397-08002B2CF9AE}" pid="7" name="bjSaver">
    <vt:lpwstr>RZzjJNJ4DnDN1gYOb/XvztM4yo1RPmY5</vt:lpwstr>
  </property>
  <property fmtid="{D5CDD505-2E9C-101B-9397-08002B2CF9AE}" pid="8" name="bjDocumentLabelXML">
    <vt:lpwstr>&lt;?xml version="1.0" encoding="us-ascii"?&gt;&lt;sisl xmlns:xsd="http://www.w3.org/2001/XMLSchema" xmlns:xsi="http://www.w3.org/2001/XMLSchema-instance" sislVersion="0" policy="1865c0a7-d648-4a74-80fe-fa9dc7fe13cc" origin="userSelected" xmlns="http://www.boldonj</vt:lpwstr>
  </property>
  <property fmtid="{D5CDD505-2E9C-101B-9397-08002B2CF9AE}" pid="9" name="bjDocumentLabelXML-0">
    <vt:lpwstr>ames.com/2008/01/sie/internal/label"&gt;&lt;element uid="dd6c74cc-0de9-4a0a-85ef-439e2ceecf74" value="" /&gt;&lt;/sisl&gt;</vt:lpwstr>
  </property>
  <property fmtid="{D5CDD505-2E9C-101B-9397-08002B2CF9AE}" pid="10" name="bjDocumentSecurityLabel">
    <vt:lpwstr>OFFICIAL</vt:lpwstr>
  </property>
  <property fmtid="{D5CDD505-2E9C-101B-9397-08002B2CF9AE}" pid="11" name="bjHeaderBothDocProperty">
    <vt:lpwstr>OFFICIAL_x000d_
 </vt:lpwstr>
  </property>
  <property fmtid="{D5CDD505-2E9C-101B-9397-08002B2CF9AE}" pid="12" name="bjHeaderFirstPageDocProperty">
    <vt:lpwstr>OFFICIAL_x000d_
 </vt:lpwstr>
  </property>
  <property fmtid="{D5CDD505-2E9C-101B-9397-08002B2CF9AE}" pid="13" name="bjHeaderEvenPageDocProperty">
    <vt:lpwstr>OFFICIAL_x000d_
 </vt:lpwstr>
  </property>
  <property fmtid="{D5CDD505-2E9C-101B-9397-08002B2CF9AE}" pid="14" name="bjFooterBothDocProperty">
    <vt:lpwstr>_x000d_
OFFICIAL </vt:lpwstr>
  </property>
  <property fmtid="{D5CDD505-2E9C-101B-9397-08002B2CF9AE}" pid="15" name="bjFooterFirstPageDocProperty">
    <vt:lpwstr>_x000d_
OFFICIAL </vt:lpwstr>
  </property>
  <property fmtid="{D5CDD505-2E9C-101B-9397-08002B2CF9AE}" pid="16" name="bjFooterEvenPageDocProperty">
    <vt:lpwstr>_x000d_
OFFICIAL </vt:lpwstr>
  </property>
  <property fmtid="{D5CDD505-2E9C-101B-9397-08002B2CF9AE}" pid="17" name="a41428b017d04df981d58ffdf035d7b8">
    <vt:lpwstr/>
  </property>
  <property fmtid="{D5CDD505-2E9C-101B-9397-08002B2CF9AE}" pid="18" name="Attachement">
    <vt:bool>true</vt:bool>
  </property>
</Properties>
</file>